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229796" w14:textId="77777777" w:rsidR="009612C7" w:rsidRPr="009612C7" w:rsidRDefault="009612C7" w:rsidP="009612C7">
      <w:pPr>
        <w:spacing w:after="0" w:line="240" w:lineRule="auto"/>
        <w:jc w:val="both"/>
        <w:rPr>
          <w:rFonts w:ascii="Century Gothic" w:hAnsi="Century Gothic"/>
          <w:sz w:val="22"/>
          <w:szCs w:val="22"/>
        </w:rPr>
      </w:pPr>
    </w:p>
    <w:p w14:paraId="691E3121" w14:textId="77777777" w:rsidR="009612C7" w:rsidRPr="009612C7" w:rsidRDefault="009612C7" w:rsidP="009612C7">
      <w:pPr>
        <w:spacing w:after="0" w:line="240" w:lineRule="auto"/>
        <w:jc w:val="both"/>
        <w:rPr>
          <w:rFonts w:ascii="Century Gothic" w:hAnsi="Century Gothic"/>
          <w:sz w:val="22"/>
          <w:szCs w:val="22"/>
        </w:rPr>
      </w:pPr>
      <w:r w:rsidRPr="009612C7">
        <w:rPr>
          <w:rFonts w:ascii="Century Gothic" w:hAnsi="Century Gothic"/>
          <w:b/>
          <w:bCs/>
          <w:sz w:val="22"/>
          <w:szCs w:val="22"/>
        </w:rPr>
        <w:t>CARPETA 1</w:t>
      </w:r>
    </w:p>
    <w:p w14:paraId="464F9E72" w14:textId="77777777" w:rsidR="009612C7" w:rsidRPr="009612C7" w:rsidRDefault="009612C7" w:rsidP="009612C7">
      <w:pPr>
        <w:spacing w:after="0" w:line="240" w:lineRule="auto"/>
        <w:jc w:val="both"/>
        <w:rPr>
          <w:rFonts w:ascii="Century Gothic" w:hAnsi="Century Gothic"/>
          <w:sz w:val="22"/>
          <w:szCs w:val="22"/>
        </w:rPr>
      </w:pPr>
      <w:r w:rsidRPr="009612C7">
        <w:rPr>
          <w:rFonts w:ascii="Century Gothic" w:hAnsi="Century Gothic"/>
          <w:b/>
          <w:bCs/>
          <w:sz w:val="22"/>
          <w:szCs w:val="22"/>
        </w:rPr>
        <w:t>TABLA DE CONTENIDO DEL CURSO</w:t>
      </w:r>
    </w:p>
    <w:p w14:paraId="777E64FC" w14:textId="77777777" w:rsidR="009612C7" w:rsidRPr="009612C7" w:rsidRDefault="009612C7" w:rsidP="009612C7">
      <w:pPr>
        <w:spacing w:after="0" w:line="240" w:lineRule="auto"/>
        <w:jc w:val="both"/>
        <w:rPr>
          <w:rFonts w:ascii="Century Gothic" w:hAnsi="Century Gothic"/>
          <w:sz w:val="22"/>
          <w:szCs w:val="22"/>
        </w:rPr>
      </w:pPr>
    </w:p>
    <w:p w14:paraId="64BCE273" w14:textId="77777777" w:rsidR="009612C7" w:rsidRDefault="009612C7" w:rsidP="009612C7">
      <w:pPr>
        <w:spacing w:after="0" w:line="240" w:lineRule="auto"/>
        <w:jc w:val="both"/>
        <w:rPr>
          <w:rFonts w:ascii="Century Gothic" w:hAnsi="Century Gothic"/>
          <w:b/>
          <w:bCs/>
          <w:sz w:val="22"/>
          <w:szCs w:val="22"/>
        </w:rPr>
      </w:pPr>
      <w:r w:rsidRPr="009612C7">
        <w:rPr>
          <w:rFonts w:ascii="Century Gothic" w:hAnsi="Century Gothic"/>
          <w:b/>
          <w:bCs/>
          <w:sz w:val="22"/>
          <w:szCs w:val="22"/>
        </w:rPr>
        <w:t>I. OBJETIVO GENERAL DEL CURSO</w:t>
      </w:r>
    </w:p>
    <w:p w14:paraId="2A6A152D" w14:textId="77777777" w:rsidR="009612C7" w:rsidRPr="009612C7" w:rsidRDefault="009612C7" w:rsidP="009612C7">
      <w:pPr>
        <w:spacing w:after="0" w:line="240" w:lineRule="auto"/>
        <w:jc w:val="both"/>
        <w:rPr>
          <w:rFonts w:ascii="Century Gothic" w:hAnsi="Century Gothic"/>
          <w:b/>
          <w:bCs/>
          <w:sz w:val="22"/>
          <w:szCs w:val="22"/>
        </w:rPr>
      </w:pPr>
    </w:p>
    <w:p w14:paraId="17B856FB" w14:textId="29650C28" w:rsidR="009612C7" w:rsidRPr="009612C7" w:rsidRDefault="009612C7" w:rsidP="009612C7">
      <w:pPr>
        <w:spacing w:after="0" w:line="240" w:lineRule="auto"/>
        <w:jc w:val="both"/>
        <w:rPr>
          <w:rFonts w:ascii="Century Gothic" w:hAnsi="Century Gothic"/>
          <w:sz w:val="22"/>
          <w:szCs w:val="22"/>
        </w:rPr>
      </w:pPr>
      <w:r w:rsidRPr="009612C7">
        <w:rPr>
          <w:rFonts w:ascii="Century Gothic" w:hAnsi="Century Gothic"/>
          <w:sz w:val="22"/>
          <w:szCs w:val="22"/>
        </w:rPr>
        <w:t xml:space="preserve">El presente curso tiene como </w:t>
      </w:r>
      <w:r w:rsidR="007C31B7" w:rsidRPr="009612C7">
        <w:rPr>
          <w:rFonts w:ascii="Century Gothic" w:hAnsi="Century Gothic"/>
          <w:sz w:val="22"/>
          <w:szCs w:val="22"/>
        </w:rPr>
        <w:t>propósito</w:t>
      </w:r>
      <w:r w:rsidRPr="009612C7">
        <w:rPr>
          <w:rFonts w:ascii="Century Gothic" w:hAnsi="Century Gothic"/>
          <w:sz w:val="22"/>
          <w:szCs w:val="22"/>
        </w:rPr>
        <w:t xml:space="preserve"> formativo central introducir al estudiante universitario de Derecho en el estudio </w:t>
      </w:r>
      <w:r w:rsidR="007C31B7" w:rsidRPr="009612C7">
        <w:rPr>
          <w:rFonts w:ascii="Century Gothic" w:hAnsi="Century Gothic"/>
          <w:sz w:val="22"/>
          <w:szCs w:val="22"/>
        </w:rPr>
        <w:t>sistemático</w:t>
      </w:r>
      <w:r w:rsidRPr="009612C7">
        <w:rPr>
          <w:rFonts w:ascii="Century Gothic" w:hAnsi="Century Gothic"/>
          <w:sz w:val="22"/>
          <w:szCs w:val="22"/>
        </w:rPr>
        <w:t xml:space="preserve">, </w:t>
      </w:r>
      <w:r w:rsidR="007C31B7" w:rsidRPr="009612C7">
        <w:rPr>
          <w:rFonts w:ascii="Century Gothic" w:hAnsi="Century Gothic"/>
          <w:sz w:val="22"/>
          <w:szCs w:val="22"/>
        </w:rPr>
        <w:t>crítico</w:t>
      </w:r>
      <w:r w:rsidRPr="009612C7">
        <w:rPr>
          <w:rFonts w:ascii="Century Gothic" w:hAnsi="Century Gothic"/>
          <w:sz w:val="22"/>
          <w:szCs w:val="22"/>
        </w:rPr>
        <w:t xml:space="preserve"> y aplicado de los fundamentos </w:t>
      </w:r>
      <w:r w:rsidR="007C31B7" w:rsidRPr="009612C7">
        <w:rPr>
          <w:rFonts w:ascii="Century Gothic" w:hAnsi="Century Gothic"/>
          <w:sz w:val="22"/>
          <w:szCs w:val="22"/>
        </w:rPr>
        <w:t>teóricos</w:t>
      </w:r>
      <w:r w:rsidRPr="009612C7">
        <w:rPr>
          <w:rFonts w:ascii="Century Gothic" w:hAnsi="Century Gothic"/>
          <w:sz w:val="22"/>
          <w:szCs w:val="22"/>
        </w:rPr>
        <w:t xml:space="preserve"> y normativos del Derecho Procesal Civil en Colombia, con base en el ordenamiento </w:t>
      </w:r>
      <w:r w:rsidR="007C31B7" w:rsidRPr="009612C7">
        <w:rPr>
          <w:rFonts w:ascii="Century Gothic" w:hAnsi="Century Gothic"/>
          <w:sz w:val="22"/>
          <w:szCs w:val="22"/>
        </w:rPr>
        <w:t>jurídico</w:t>
      </w:r>
      <w:r w:rsidRPr="009612C7">
        <w:rPr>
          <w:rFonts w:ascii="Century Gothic" w:hAnsi="Century Gothic"/>
          <w:sz w:val="22"/>
          <w:szCs w:val="22"/>
        </w:rPr>
        <w:t xml:space="preserve"> vigente encabezado por el </w:t>
      </w:r>
      <w:r w:rsidR="007C31B7" w:rsidRPr="009612C7">
        <w:rPr>
          <w:rFonts w:ascii="Century Gothic" w:hAnsi="Century Gothic"/>
          <w:sz w:val="22"/>
          <w:szCs w:val="22"/>
        </w:rPr>
        <w:t>Código</w:t>
      </w:r>
      <w:r w:rsidRPr="009612C7">
        <w:rPr>
          <w:rFonts w:ascii="Century Gothic" w:hAnsi="Century Gothic"/>
          <w:sz w:val="22"/>
          <w:szCs w:val="22"/>
        </w:rPr>
        <w:t xml:space="preserve"> General del Proceso (Ley 1564 de 2012) y la </w:t>
      </w:r>
      <w:r w:rsidR="007C31B7" w:rsidRPr="009612C7">
        <w:rPr>
          <w:rFonts w:ascii="Century Gothic" w:hAnsi="Century Gothic"/>
          <w:sz w:val="22"/>
          <w:szCs w:val="22"/>
        </w:rPr>
        <w:t>Constitución</w:t>
      </w:r>
      <w:r w:rsidRPr="009612C7">
        <w:rPr>
          <w:rFonts w:ascii="Century Gothic" w:hAnsi="Century Gothic"/>
          <w:sz w:val="22"/>
          <w:szCs w:val="22"/>
        </w:rPr>
        <w:t xml:space="preserve"> </w:t>
      </w:r>
      <w:r w:rsidR="007C31B7" w:rsidRPr="009612C7">
        <w:rPr>
          <w:rFonts w:ascii="Century Gothic" w:hAnsi="Century Gothic"/>
          <w:sz w:val="22"/>
          <w:szCs w:val="22"/>
        </w:rPr>
        <w:t>Política</w:t>
      </w:r>
      <w:r w:rsidRPr="009612C7">
        <w:rPr>
          <w:rFonts w:ascii="Century Gothic" w:hAnsi="Century Gothic"/>
          <w:sz w:val="22"/>
          <w:szCs w:val="22"/>
        </w:rPr>
        <w:t xml:space="preserve"> de 1991.</w:t>
      </w:r>
    </w:p>
    <w:p w14:paraId="15ED982E" w14:textId="77777777" w:rsidR="009612C7" w:rsidRPr="009612C7" w:rsidRDefault="009612C7" w:rsidP="009612C7">
      <w:pPr>
        <w:spacing w:after="0" w:line="240" w:lineRule="auto"/>
        <w:jc w:val="both"/>
        <w:rPr>
          <w:rFonts w:ascii="Century Gothic" w:hAnsi="Century Gothic"/>
          <w:sz w:val="22"/>
          <w:szCs w:val="22"/>
        </w:rPr>
      </w:pPr>
    </w:p>
    <w:p w14:paraId="56F3CAA4" w14:textId="02B21D1B" w:rsidR="009612C7" w:rsidRPr="009612C7" w:rsidRDefault="009612C7" w:rsidP="009612C7">
      <w:pPr>
        <w:spacing w:after="0" w:line="240" w:lineRule="auto"/>
        <w:jc w:val="both"/>
        <w:rPr>
          <w:rFonts w:ascii="Century Gothic" w:hAnsi="Century Gothic"/>
          <w:sz w:val="22"/>
          <w:szCs w:val="22"/>
        </w:rPr>
      </w:pPr>
      <w:r w:rsidRPr="009612C7">
        <w:rPr>
          <w:rFonts w:ascii="Century Gothic" w:hAnsi="Century Gothic"/>
          <w:sz w:val="22"/>
          <w:szCs w:val="22"/>
        </w:rPr>
        <w:t xml:space="preserve">Al finalizar el curso, el estudiante </w:t>
      </w:r>
      <w:r w:rsidR="0052644E" w:rsidRPr="009612C7">
        <w:rPr>
          <w:rFonts w:ascii="Century Gothic" w:hAnsi="Century Gothic"/>
          <w:sz w:val="22"/>
          <w:szCs w:val="22"/>
        </w:rPr>
        <w:t>estará</w:t>
      </w:r>
      <w:r w:rsidRPr="009612C7">
        <w:rPr>
          <w:rFonts w:ascii="Century Gothic" w:hAnsi="Century Gothic"/>
          <w:sz w:val="22"/>
          <w:szCs w:val="22"/>
        </w:rPr>
        <w:t xml:space="preserve"> en capacidad de comprender la naturaleza, la estructura y la </w:t>
      </w:r>
      <w:r w:rsidR="0052644E" w:rsidRPr="009612C7">
        <w:rPr>
          <w:rFonts w:ascii="Century Gothic" w:hAnsi="Century Gothic"/>
          <w:sz w:val="22"/>
          <w:szCs w:val="22"/>
        </w:rPr>
        <w:t>función</w:t>
      </w:r>
      <w:r w:rsidRPr="009612C7">
        <w:rPr>
          <w:rFonts w:ascii="Century Gothic" w:hAnsi="Century Gothic"/>
          <w:sz w:val="22"/>
          <w:szCs w:val="22"/>
        </w:rPr>
        <w:t xml:space="preserve"> del proceso civil como instrumento de </w:t>
      </w:r>
      <w:r w:rsidR="0052644E" w:rsidRPr="009612C7">
        <w:rPr>
          <w:rFonts w:ascii="Century Gothic" w:hAnsi="Century Gothic"/>
          <w:sz w:val="22"/>
          <w:szCs w:val="22"/>
        </w:rPr>
        <w:t>realización</w:t>
      </w:r>
      <w:r w:rsidRPr="009612C7">
        <w:rPr>
          <w:rFonts w:ascii="Century Gothic" w:hAnsi="Century Gothic"/>
          <w:sz w:val="22"/>
          <w:szCs w:val="22"/>
        </w:rPr>
        <w:t xml:space="preserve"> del derecho sustancial; identificar a los sujetos procesales y sus roles; aplicar las reglas de competencia para determinar el juez correcto ante quien acudir; analizar la estructura y los efectos de las providencias judiciales y los mecanismos para impugnarlas; y evaluar cuando conviene acudir a los Mecanismos Alternativos de </w:t>
      </w:r>
      <w:r w:rsidR="0052644E" w:rsidRPr="009612C7">
        <w:rPr>
          <w:rFonts w:ascii="Century Gothic" w:hAnsi="Century Gothic"/>
          <w:sz w:val="22"/>
          <w:szCs w:val="22"/>
        </w:rPr>
        <w:t>Solución</w:t>
      </w:r>
      <w:r w:rsidRPr="009612C7">
        <w:rPr>
          <w:rFonts w:ascii="Century Gothic" w:hAnsi="Century Gothic"/>
          <w:sz w:val="22"/>
          <w:szCs w:val="22"/>
        </w:rPr>
        <w:t xml:space="preserve"> de Conflictos (MASC) como alternativa al proceso judicial ordinario.</w:t>
      </w:r>
    </w:p>
    <w:p w14:paraId="119DCF46" w14:textId="77777777" w:rsidR="009612C7" w:rsidRPr="009612C7" w:rsidRDefault="009612C7" w:rsidP="009612C7">
      <w:pPr>
        <w:spacing w:after="0" w:line="240" w:lineRule="auto"/>
        <w:jc w:val="both"/>
        <w:rPr>
          <w:rFonts w:ascii="Century Gothic" w:hAnsi="Century Gothic"/>
          <w:sz w:val="22"/>
          <w:szCs w:val="22"/>
        </w:rPr>
      </w:pPr>
    </w:p>
    <w:p w14:paraId="6E256807" w14:textId="2C3650CA" w:rsidR="009612C7" w:rsidRPr="009612C7" w:rsidRDefault="009612C7" w:rsidP="009612C7">
      <w:pPr>
        <w:spacing w:after="0" w:line="240" w:lineRule="auto"/>
        <w:jc w:val="both"/>
        <w:rPr>
          <w:rFonts w:ascii="Century Gothic" w:hAnsi="Century Gothic"/>
          <w:b/>
          <w:bCs/>
          <w:sz w:val="22"/>
          <w:szCs w:val="22"/>
        </w:rPr>
      </w:pPr>
      <w:r w:rsidRPr="009612C7">
        <w:rPr>
          <w:rFonts w:ascii="Century Gothic" w:hAnsi="Century Gothic"/>
          <w:b/>
          <w:bCs/>
          <w:sz w:val="22"/>
          <w:szCs w:val="22"/>
        </w:rPr>
        <w:t xml:space="preserve">II. ESTRUCTURA DEL CURSO POR </w:t>
      </w:r>
      <w:r w:rsidR="0052644E" w:rsidRPr="009612C7">
        <w:rPr>
          <w:rFonts w:ascii="Century Gothic" w:hAnsi="Century Gothic"/>
          <w:b/>
          <w:bCs/>
          <w:sz w:val="22"/>
          <w:szCs w:val="22"/>
        </w:rPr>
        <w:t>MÓDULOS</w:t>
      </w:r>
    </w:p>
    <w:p w14:paraId="2C14BCD8" w14:textId="77777777" w:rsidR="009612C7" w:rsidRPr="009612C7" w:rsidRDefault="009612C7" w:rsidP="009612C7">
      <w:pPr>
        <w:spacing w:after="0" w:line="240" w:lineRule="auto"/>
        <w:jc w:val="both"/>
        <w:rPr>
          <w:rFonts w:ascii="Century Gothic" w:hAnsi="Century Gothic"/>
          <w:sz w:val="22"/>
          <w:szCs w:val="22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140"/>
      </w:tblGrid>
      <w:tr w:rsidR="009612C7" w:rsidRPr="009612C7" w14:paraId="5C982AEE" w14:textId="77777777" w:rsidTr="009612C7">
        <w:tc>
          <w:tcPr>
            <w:tcW w:w="0" w:type="auto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1A3A5C"/>
            <w:tcMar>
              <w:top w:w="140" w:type="dxa"/>
              <w:left w:w="220" w:type="dxa"/>
              <w:bottom w:w="140" w:type="dxa"/>
              <w:right w:w="220" w:type="dxa"/>
            </w:tcMar>
            <w:hideMark/>
          </w:tcPr>
          <w:p w14:paraId="7F9A46B9" w14:textId="77777777" w:rsidR="009612C7" w:rsidRPr="009612C7" w:rsidRDefault="009612C7" w:rsidP="009612C7">
            <w:pPr>
              <w:spacing w:after="0" w:line="240" w:lineRule="auto"/>
              <w:jc w:val="both"/>
              <w:rPr>
                <w:rFonts w:ascii="Century Gothic" w:hAnsi="Century Gothic"/>
                <w:sz w:val="22"/>
                <w:szCs w:val="22"/>
              </w:rPr>
            </w:pPr>
            <w:r w:rsidRPr="009612C7">
              <w:rPr>
                <w:rFonts w:ascii="Century Gothic" w:hAnsi="Century Gothic"/>
                <w:b/>
                <w:bCs/>
                <w:sz w:val="22"/>
                <w:szCs w:val="22"/>
              </w:rPr>
              <w:t>MODULO 1  CONCEPTOS FUNDAMENTALES DEL DERECHO PROCESAL CIVIL</w:t>
            </w:r>
          </w:p>
        </w:tc>
      </w:tr>
    </w:tbl>
    <w:p w14:paraId="54B3D2E3" w14:textId="77777777" w:rsidR="009612C7" w:rsidRPr="009612C7" w:rsidRDefault="009612C7" w:rsidP="009612C7">
      <w:pPr>
        <w:spacing w:after="0" w:line="240" w:lineRule="auto"/>
        <w:jc w:val="both"/>
        <w:rPr>
          <w:rFonts w:ascii="Century Gothic" w:hAnsi="Century Gothic"/>
          <w:sz w:val="22"/>
          <w:szCs w:val="22"/>
        </w:rPr>
      </w:pPr>
    </w:p>
    <w:p w14:paraId="11AE33EC" w14:textId="606FCF01" w:rsidR="009612C7" w:rsidRPr="009612C7" w:rsidRDefault="009612C7" w:rsidP="009612C7">
      <w:pPr>
        <w:spacing w:after="0" w:line="240" w:lineRule="auto"/>
        <w:jc w:val="both"/>
        <w:rPr>
          <w:rFonts w:ascii="Century Gothic" w:hAnsi="Century Gothic"/>
          <w:sz w:val="22"/>
          <w:szCs w:val="22"/>
        </w:rPr>
      </w:pPr>
      <w:r w:rsidRPr="009612C7">
        <w:rPr>
          <w:rFonts w:ascii="Century Gothic" w:hAnsi="Century Gothic"/>
          <w:b/>
          <w:bCs/>
          <w:sz w:val="22"/>
          <w:szCs w:val="22"/>
        </w:rPr>
        <w:t xml:space="preserve">Enfoque: </w:t>
      </w:r>
      <w:r w:rsidRPr="009612C7">
        <w:rPr>
          <w:rFonts w:ascii="Century Gothic" w:hAnsi="Century Gothic"/>
          <w:i/>
          <w:iCs/>
          <w:sz w:val="22"/>
          <w:szCs w:val="22"/>
        </w:rPr>
        <w:t>"</w:t>
      </w:r>
      <w:r w:rsidR="0052644E" w:rsidRPr="009612C7">
        <w:rPr>
          <w:rFonts w:ascii="Century Gothic" w:hAnsi="Century Gothic"/>
          <w:i/>
          <w:iCs/>
          <w:sz w:val="22"/>
          <w:szCs w:val="22"/>
        </w:rPr>
        <w:t>Porque</w:t>
      </w:r>
      <w:r w:rsidRPr="009612C7">
        <w:rPr>
          <w:rFonts w:ascii="Century Gothic" w:hAnsi="Century Gothic"/>
          <w:i/>
          <w:iCs/>
          <w:sz w:val="22"/>
          <w:szCs w:val="22"/>
        </w:rPr>
        <w:t xml:space="preserve"> existe el proceso? Fundamentos, actores y poder de juzgar"</w:t>
      </w:r>
    </w:p>
    <w:p w14:paraId="630A95F6" w14:textId="653DDCA7" w:rsidR="009612C7" w:rsidRPr="009612C7" w:rsidRDefault="009612C7" w:rsidP="009612C7">
      <w:pPr>
        <w:spacing w:after="0" w:line="240" w:lineRule="auto"/>
        <w:jc w:val="both"/>
        <w:rPr>
          <w:rFonts w:ascii="Century Gothic" w:hAnsi="Century Gothic"/>
          <w:sz w:val="22"/>
          <w:szCs w:val="22"/>
        </w:rPr>
      </w:pPr>
      <w:r w:rsidRPr="009612C7">
        <w:rPr>
          <w:rFonts w:ascii="Century Gothic" w:hAnsi="Century Gothic"/>
          <w:sz w:val="22"/>
          <w:szCs w:val="22"/>
        </w:rPr>
        <w:t xml:space="preserve">Este </w:t>
      </w:r>
      <w:r w:rsidR="0052644E" w:rsidRPr="009612C7">
        <w:rPr>
          <w:rFonts w:ascii="Century Gothic" w:hAnsi="Century Gothic"/>
          <w:sz w:val="22"/>
          <w:szCs w:val="22"/>
        </w:rPr>
        <w:t>módulo</w:t>
      </w:r>
      <w:r w:rsidRPr="009612C7">
        <w:rPr>
          <w:rFonts w:ascii="Century Gothic" w:hAnsi="Century Gothic"/>
          <w:sz w:val="22"/>
          <w:szCs w:val="22"/>
        </w:rPr>
        <w:t xml:space="preserve"> introduce al estudiante en los conceptos fundacionales del Derecho Procesal Civil: la razon de ser del proceso como mecanismo de </w:t>
      </w:r>
      <w:r w:rsidR="0052644E" w:rsidRPr="009612C7">
        <w:rPr>
          <w:rFonts w:ascii="Century Gothic" w:hAnsi="Century Gothic"/>
          <w:sz w:val="22"/>
          <w:szCs w:val="22"/>
        </w:rPr>
        <w:t>solución</w:t>
      </w:r>
      <w:r w:rsidRPr="009612C7">
        <w:rPr>
          <w:rFonts w:ascii="Century Gothic" w:hAnsi="Century Gothic"/>
          <w:sz w:val="22"/>
          <w:szCs w:val="22"/>
        </w:rPr>
        <w:t xml:space="preserve"> de conflictos, los derechos fundamentales que lo rodean (</w:t>
      </w:r>
      <w:r w:rsidR="0052644E" w:rsidRPr="009612C7">
        <w:rPr>
          <w:rFonts w:ascii="Century Gothic" w:hAnsi="Century Gothic"/>
          <w:sz w:val="22"/>
          <w:szCs w:val="22"/>
        </w:rPr>
        <w:t>acción</w:t>
      </w:r>
      <w:r w:rsidRPr="009612C7">
        <w:rPr>
          <w:rFonts w:ascii="Century Gothic" w:hAnsi="Century Gothic"/>
          <w:sz w:val="22"/>
          <w:szCs w:val="22"/>
        </w:rPr>
        <w:t xml:space="preserve"> y </w:t>
      </w:r>
      <w:r w:rsidR="0052644E" w:rsidRPr="009612C7">
        <w:rPr>
          <w:rFonts w:ascii="Century Gothic" w:hAnsi="Century Gothic"/>
          <w:sz w:val="22"/>
          <w:szCs w:val="22"/>
        </w:rPr>
        <w:t>contradicción</w:t>
      </w:r>
      <w:r w:rsidRPr="009612C7">
        <w:rPr>
          <w:rFonts w:ascii="Century Gothic" w:hAnsi="Century Gothic"/>
          <w:sz w:val="22"/>
          <w:szCs w:val="22"/>
        </w:rPr>
        <w:t>) y el poder estatal que lo hace posible (</w:t>
      </w:r>
      <w:r w:rsidR="0052644E" w:rsidRPr="009612C7">
        <w:rPr>
          <w:rFonts w:ascii="Century Gothic" w:hAnsi="Century Gothic"/>
          <w:sz w:val="22"/>
          <w:szCs w:val="22"/>
        </w:rPr>
        <w:t>jurisdicción</w:t>
      </w:r>
      <w:r w:rsidRPr="009612C7">
        <w:rPr>
          <w:rFonts w:ascii="Century Gothic" w:hAnsi="Century Gothic"/>
          <w:sz w:val="22"/>
          <w:szCs w:val="22"/>
        </w:rPr>
        <w:t xml:space="preserve">). Se analizan las distintas formas en que el ordenamiento colombiano resuelve los conflictos, desde las </w:t>
      </w:r>
      <w:r w:rsidR="0052644E" w:rsidRPr="009612C7">
        <w:rPr>
          <w:rFonts w:ascii="Century Gothic" w:hAnsi="Century Gothic"/>
          <w:sz w:val="22"/>
          <w:szCs w:val="22"/>
        </w:rPr>
        <w:t>vías</w:t>
      </w:r>
      <w:r w:rsidRPr="009612C7">
        <w:rPr>
          <w:rFonts w:ascii="Century Gothic" w:hAnsi="Century Gothic"/>
          <w:sz w:val="22"/>
          <w:szCs w:val="22"/>
        </w:rPr>
        <w:t xml:space="preserve"> de hecho prohibidas hasta los equivalentes jurisdiccionales reconocidos por la </w:t>
      </w:r>
      <w:r w:rsidR="0052644E" w:rsidRPr="009612C7">
        <w:rPr>
          <w:rFonts w:ascii="Century Gothic" w:hAnsi="Century Gothic"/>
          <w:sz w:val="22"/>
          <w:szCs w:val="22"/>
        </w:rPr>
        <w:t>Constitución</w:t>
      </w:r>
      <w:r w:rsidRPr="009612C7">
        <w:rPr>
          <w:rFonts w:ascii="Century Gothic" w:hAnsi="Century Gothic"/>
          <w:sz w:val="22"/>
          <w:szCs w:val="22"/>
        </w:rPr>
        <w:t>.</w:t>
      </w:r>
    </w:p>
    <w:p w14:paraId="2827E52C" w14:textId="77777777" w:rsidR="009612C7" w:rsidRPr="009612C7" w:rsidRDefault="009612C7" w:rsidP="009612C7">
      <w:pPr>
        <w:spacing w:after="0" w:line="240" w:lineRule="auto"/>
        <w:jc w:val="both"/>
        <w:rPr>
          <w:rFonts w:ascii="Century Gothic" w:hAnsi="Century Gothic"/>
          <w:sz w:val="22"/>
          <w:szCs w:val="22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62"/>
        <w:gridCol w:w="8266"/>
      </w:tblGrid>
      <w:tr w:rsidR="009612C7" w:rsidRPr="009612C7" w14:paraId="04AAAFCF" w14:textId="77777777" w:rsidTr="009612C7">
        <w:tc>
          <w:tcPr>
            <w:tcW w:w="0" w:type="auto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1A3A5C"/>
            <w:tcMar>
              <w:top w:w="100" w:type="dxa"/>
              <w:left w:w="120" w:type="dxa"/>
              <w:bottom w:w="100" w:type="dxa"/>
              <w:right w:w="120" w:type="dxa"/>
            </w:tcMar>
            <w:hideMark/>
          </w:tcPr>
          <w:p w14:paraId="1D8F848E" w14:textId="69112FFE" w:rsidR="009612C7" w:rsidRPr="009612C7" w:rsidRDefault="0052644E" w:rsidP="009612C7">
            <w:pPr>
              <w:spacing w:after="0" w:line="240" w:lineRule="auto"/>
              <w:jc w:val="both"/>
              <w:rPr>
                <w:rFonts w:ascii="Century Gothic" w:hAnsi="Century Gothic"/>
                <w:sz w:val="22"/>
                <w:szCs w:val="22"/>
              </w:rPr>
            </w:pPr>
            <w:r w:rsidRPr="009612C7">
              <w:rPr>
                <w:rFonts w:ascii="Century Gothic" w:hAnsi="Century Gothic"/>
                <w:b/>
                <w:bCs/>
                <w:sz w:val="22"/>
                <w:szCs w:val="22"/>
              </w:rPr>
              <w:t>CH</w:t>
            </w:r>
          </w:p>
        </w:tc>
        <w:tc>
          <w:tcPr>
            <w:tcW w:w="0" w:type="auto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5F8FC"/>
            <w:tcMar>
              <w:top w:w="100" w:type="dxa"/>
              <w:left w:w="160" w:type="dxa"/>
              <w:bottom w:w="100" w:type="dxa"/>
              <w:right w:w="160" w:type="dxa"/>
            </w:tcMar>
            <w:hideMark/>
          </w:tcPr>
          <w:p w14:paraId="25DCFE93" w14:textId="77777777" w:rsidR="009612C7" w:rsidRPr="009612C7" w:rsidRDefault="009612C7" w:rsidP="009612C7">
            <w:pPr>
              <w:spacing w:after="0" w:line="240" w:lineRule="auto"/>
              <w:jc w:val="both"/>
              <w:rPr>
                <w:rFonts w:ascii="Century Gothic" w:hAnsi="Century Gothic"/>
                <w:sz w:val="22"/>
                <w:szCs w:val="22"/>
              </w:rPr>
            </w:pPr>
            <w:r w:rsidRPr="009612C7">
              <w:rPr>
                <w:rFonts w:ascii="Century Gothic" w:hAnsi="Century Gothic"/>
                <w:b/>
                <w:bCs/>
                <w:sz w:val="22"/>
                <w:szCs w:val="22"/>
              </w:rPr>
              <w:t>El Conflicto de Intereses y sus Soluciones</w:t>
            </w:r>
          </w:p>
          <w:p w14:paraId="2A1F0FB7" w14:textId="2B1C52D4" w:rsidR="009612C7" w:rsidRPr="009612C7" w:rsidRDefault="009612C7" w:rsidP="009612C7">
            <w:pPr>
              <w:spacing w:after="0" w:line="240" w:lineRule="auto"/>
              <w:jc w:val="both"/>
              <w:rPr>
                <w:rFonts w:ascii="Century Gothic" w:hAnsi="Century Gothic"/>
                <w:sz w:val="22"/>
                <w:szCs w:val="22"/>
              </w:rPr>
            </w:pPr>
            <w:r w:rsidRPr="009612C7">
              <w:rPr>
                <w:rFonts w:ascii="Century Gothic" w:hAnsi="Century Gothic"/>
                <w:sz w:val="22"/>
                <w:szCs w:val="22"/>
              </w:rPr>
              <w:t xml:space="preserve">Estudio de las tres formas </w:t>
            </w:r>
            <w:r w:rsidR="0052644E" w:rsidRPr="009612C7">
              <w:rPr>
                <w:rFonts w:ascii="Century Gothic" w:hAnsi="Century Gothic"/>
                <w:sz w:val="22"/>
                <w:szCs w:val="22"/>
              </w:rPr>
              <w:t>históricas</w:t>
            </w:r>
            <w:r w:rsidRPr="009612C7">
              <w:rPr>
                <w:rFonts w:ascii="Century Gothic" w:hAnsi="Century Gothic"/>
                <w:sz w:val="22"/>
                <w:szCs w:val="22"/>
              </w:rPr>
              <w:t xml:space="preserve"> y </w:t>
            </w:r>
            <w:r w:rsidR="0052644E" w:rsidRPr="009612C7">
              <w:rPr>
                <w:rFonts w:ascii="Century Gothic" w:hAnsi="Century Gothic"/>
                <w:sz w:val="22"/>
                <w:szCs w:val="22"/>
              </w:rPr>
              <w:t>jurídicas</w:t>
            </w:r>
            <w:r w:rsidRPr="009612C7">
              <w:rPr>
                <w:rFonts w:ascii="Century Gothic" w:hAnsi="Century Gothic"/>
                <w:sz w:val="22"/>
                <w:szCs w:val="22"/>
              </w:rPr>
              <w:t xml:space="preserve"> de </w:t>
            </w:r>
            <w:r w:rsidR="0052644E" w:rsidRPr="009612C7">
              <w:rPr>
                <w:rFonts w:ascii="Century Gothic" w:hAnsi="Century Gothic"/>
                <w:sz w:val="22"/>
                <w:szCs w:val="22"/>
              </w:rPr>
              <w:t>solución</w:t>
            </w:r>
            <w:r w:rsidRPr="009612C7">
              <w:rPr>
                <w:rFonts w:ascii="Century Gothic" w:hAnsi="Century Gothic"/>
                <w:sz w:val="22"/>
                <w:szCs w:val="22"/>
              </w:rPr>
              <w:t xml:space="preserve"> de conflictos: autotutela (prohibida como regla general, con sus excepciones legales), </w:t>
            </w:r>
            <w:r w:rsidR="0052644E" w:rsidRPr="009612C7">
              <w:rPr>
                <w:rFonts w:ascii="Century Gothic" w:hAnsi="Century Gothic"/>
                <w:sz w:val="22"/>
                <w:szCs w:val="22"/>
              </w:rPr>
              <w:t>autocomposición</w:t>
            </w:r>
            <w:r w:rsidRPr="009612C7">
              <w:rPr>
                <w:rFonts w:ascii="Century Gothic" w:hAnsi="Century Gothic"/>
                <w:sz w:val="22"/>
                <w:szCs w:val="22"/>
              </w:rPr>
              <w:t xml:space="preserve"> (MASC: </w:t>
            </w:r>
            <w:r w:rsidR="0052644E" w:rsidRPr="009612C7">
              <w:rPr>
                <w:rFonts w:ascii="Century Gothic" w:hAnsi="Century Gothic"/>
                <w:sz w:val="22"/>
                <w:szCs w:val="22"/>
              </w:rPr>
              <w:t>conciliación</w:t>
            </w:r>
            <w:r w:rsidRPr="009612C7">
              <w:rPr>
                <w:rFonts w:ascii="Century Gothic" w:hAnsi="Century Gothic"/>
                <w:sz w:val="22"/>
                <w:szCs w:val="22"/>
              </w:rPr>
              <w:t xml:space="preserve">, </w:t>
            </w:r>
            <w:r w:rsidR="0052644E" w:rsidRPr="009612C7">
              <w:rPr>
                <w:rFonts w:ascii="Century Gothic" w:hAnsi="Century Gothic"/>
                <w:sz w:val="22"/>
                <w:szCs w:val="22"/>
              </w:rPr>
              <w:t>transacción</w:t>
            </w:r>
            <w:r w:rsidRPr="009612C7">
              <w:rPr>
                <w:rFonts w:ascii="Century Gothic" w:hAnsi="Century Gothic"/>
                <w:sz w:val="22"/>
                <w:szCs w:val="22"/>
              </w:rPr>
              <w:t xml:space="preserve">, desistimiento, allanamiento) y </w:t>
            </w:r>
            <w:r w:rsidR="0052644E" w:rsidRPr="009612C7">
              <w:rPr>
                <w:rFonts w:ascii="Century Gothic" w:hAnsi="Century Gothic"/>
                <w:sz w:val="22"/>
                <w:szCs w:val="22"/>
              </w:rPr>
              <w:t>heterocomposición</w:t>
            </w:r>
            <w:r w:rsidRPr="009612C7">
              <w:rPr>
                <w:rFonts w:ascii="Century Gothic" w:hAnsi="Century Gothic"/>
                <w:sz w:val="22"/>
                <w:szCs w:val="22"/>
              </w:rPr>
              <w:t xml:space="preserve"> (proceso judicial y arbitraje). Fundamento: Art. 228 C.P. / Art. 4 CGP / Ley 640 de 2001.</w:t>
            </w:r>
          </w:p>
        </w:tc>
      </w:tr>
    </w:tbl>
    <w:p w14:paraId="232740E3" w14:textId="77777777" w:rsidR="009612C7" w:rsidRPr="009612C7" w:rsidRDefault="009612C7" w:rsidP="009612C7">
      <w:pPr>
        <w:spacing w:after="0" w:line="240" w:lineRule="auto"/>
        <w:jc w:val="both"/>
        <w:rPr>
          <w:rFonts w:ascii="Century Gothic" w:hAnsi="Century Gothic"/>
          <w:sz w:val="22"/>
          <w:szCs w:val="22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62"/>
        <w:gridCol w:w="8266"/>
      </w:tblGrid>
      <w:tr w:rsidR="009612C7" w:rsidRPr="009612C7" w14:paraId="6C828CCC" w14:textId="77777777" w:rsidTr="009612C7">
        <w:tc>
          <w:tcPr>
            <w:tcW w:w="0" w:type="auto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1A3A5C"/>
            <w:tcMar>
              <w:top w:w="100" w:type="dxa"/>
              <w:left w:w="120" w:type="dxa"/>
              <w:bottom w:w="100" w:type="dxa"/>
              <w:right w:w="120" w:type="dxa"/>
            </w:tcMar>
            <w:hideMark/>
          </w:tcPr>
          <w:p w14:paraId="33F11025" w14:textId="04BB037E" w:rsidR="009612C7" w:rsidRPr="009612C7" w:rsidRDefault="0052644E" w:rsidP="009612C7">
            <w:pPr>
              <w:spacing w:after="0" w:line="240" w:lineRule="auto"/>
              <w:jc w:val="both"/>
              <w:rPr>
                <w:rFonts w:ascii="Century Gothic" w:hAnsi="Century Gothic"/>
                <w:sz w:val="22"/>
                <w:szCs w:val="22"/>
              </w:rPr>
            </w:pPr>
            <w:r w:rsidRPr="009612C7">
              <w:rPr>
                <w:rFonts w:ascii="Century Gothic" w:hAnsi="Century Gothic"/>
                <w:b/>
                <w:bCs/>
                <w:sz w:val="22"/>
                <w:szCs w:val="22"/>
              </w:rPr>
              <w:t>CH</w:t>
            </w:r>
          </w:p>
        </w:tc>
        <w:tc>
          <w:tcPr>
            <w:tcW w:w="0" w:type="auto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5F8FC"/>
            <w:tcMar>
              <w:top w:w="100" w:type="dxa"/>
              <w:left w:w="160" w:type="dxa"/>
              <w:bottom w:w="100" w:type="dxa"/>
              <w:right w:w="160" w:type="dxa"/>
            </w:tcMar>
            <w:hideMark/>
          </w:tcPr>
          <w:p w14:paraId="42052073" w14:textId="291BF78C" w:rsidR="009612C7" w:rsidRPr="009612C7" w:rsidRDefault="009612C7" w:rsidP="009612C7">
            <w:pPr>
              <w:spacing w:after="0" w:line="240" w:lineRule="auto"/>
              <w:jc w:val="both"/>
              <w:rPr>
                <w:rFonts w:ascii="Century Gothic" w:hAnsi="Century Gothic"/>
                <w:sz w:val="22"/>
                <w:szCs w:val="22"/>
              </w:rPr>
            </w:pPr>
            <w:r w:rsidRPr="009612C7">
              <w:rPr>
                <w:rFonts w:ascii="Century Gothic" w:hAnsi="Century Gothic"/>
                <w:b/>
                <w:bCs/>
                <w:sz w:val="22"/>
                <w:szCs w:val="22"/>
              </w:rPr>
              <w:t xml:space="preserve">El Concepto de </w:t>
            </w:r>
            <w:r w:rsidR="0052644E" w:rsidRPr="009612C7">
              <w:rPr>
                <w:rFonts w:ascii="Century Gothic" w:hAnsi="Century Gothic"/>
                <w:b/>
                <w:bCs/>
                <w:sz w:val="22"/>
                <w:szCs w:val="22"/>
              </w:rPr>
              <w:t>Acción</w:t>
            </w:r>
            <w:r w:rsidRPr="009612C7">
              <w:rPr>
                <w:rFonts w:ascii="Century Gothic" w:hAnsi="Century Gothic"/>
                <w:b/>
                <w:bCs/>
                <w:sz w:val="22"/>
                <w:szCs w:val="22"/>
              </w:rPr>
              <w:t xml:space="preserve"> Procesal</w:t>
            </w:r>
          </w:p>
          <w:p w14:paraId="59BAC0C8" w14:textId="606C657A" w:rsidR="009612C7" w:rsidRPr="009612C7" w:rsidRDefault="0052644E" w:rsidP="009612C7">
            <w:pPr>
              <w:spacing w:after="0" w:line="240" w:lineRule="auto"/>
              <w:jc w:val="both"/>
              <w:rPr>
                <w:rFonts w:ascii="Century Gothic" w:hAnsi="Century Gothic"/>
                <w:sz w:val="22"/>
                <w:szCs w:val="22"/>
              </w:rPr>
            </w:pPr>
            <w:r w:rsidRPr="009612C7">
              <w:rPr>
                <w:rFonts w:ascii="Century Gothic" w:hAnsi="Century Gothic"/>
                <w:sz w:val="22"/>
                <w:szCs w:val="22"/>
              </w:rPr>
              <w:t>Evolución</w:t>
            </w:r>
            <w:r w:rsidR="009612C7" w:rsidRPr="009612C7">
              <w:rPr>
                <w:rFonts w:ascii="Century Gothic" w:hAnsi="Century Gothic"/>
                <w:sz w:val="22"/>
                <w:szCs w:val="22"/>
              </w:rPr>
              <w:t xml:space="preserve"> </w:t>
            </w:r>
            <w:r w:rsidRPr="009612C7">
              <w:rPr>
                <w:rFonts w:ascii="Century Gothic" w:hAnsi="Century Gothic"/>
                <w:sz w:val="22"/>
                <w:szCs w:val="22"/>
              </w:rPr>
              <w:t>histórica</w:t>
            </w:r>
            <w:r w:rsidR="009612C7" w:rsidRPr="009612C7">
              <w:rPr>
                <w:rFonts w:ascii="Century Gothic" w:hAnsi="Century Gothic"/>
                <w:sz w:val="22"/>
                <w:szCs w:val="22"/>
              </w:rPr>
              <w:t xml:space="preserve"> del concepto de </w:t>
            </w:r>
            <w:r w:rsidRPr="009612C7">
              <w:rPr>
                <w:rFonts w:ascii="Century Gothic" w:hAnsi="Century Gothic"/>
                <w:sz w:val="22"/>
                <w:szCs w:val="22"/>
              </w:rPr>
              <w:t>acción</w:t>
            </w:r>
            <w:r w:rsidR="009612C7" w:rsidRPr="009612C7">
              <w:rPr>
                <w:rFonts w:ascii="Century Gothic" w:hAnsi="Century Gothic"/>
                <w:sz w:val="22"/>
                <w:szCs w:val="22"/>
              </w:rPr>
              <w:t xml:space="preserve">: </w:t>
            </w:r>
            <w:r w:rsidRPr="009612C7">
              <w:rPr>
                <w:rFonts w:ascii="Century Gothic" w:hAnsi="Century Gothic"/>
                <w:sz w:val="22"/>
                <w:szCs w:val="22"/>
              </w:rPr>
              <w:t>teoría</w:t>
            </w:r>
            <w:r w:rsidR="009612C7" w:rsidRPr="009612C7">
              <w:rPr>
                <w:rFonts w:ascii="Century Gothic" w:hAnsi="Century Gothic"/>
                <w:sz w:val="22"/>
                <w:szCs w:val="22"/>
              </w:rPr>
              <w:t xml:space="preserve"> </w:t>
            </w:r>
            <w:r w:rsidRPr="009612C7">
              <w:rPr>
                <w:rFonts w:ascii="Century Gothic" w:hAnsi="Century Gothic"/>
                <w:sz w:val="22"/>
                <w:szCs w:val="22"/>
              </w:rPr>
              <w:t>clásica</w:t>
            </w:r>
            <w:r w:rsidR="009612C7" w:rsidRPr="009612C7">
              <w:rPr>
                <w:rFonts w:ascii="Century Gothic" w:hAnsi="Century Gothic"/>
                <w:sz w:val="22"/>
                <w:szCs w:val="22"/>
              </w:rPr>
              <w:t xml:space="preserve">, </w:t>
            </w:r>
            <w:r w:rsidRPr="009612C7">
              <w:rPr>
                <w:rFonts w:ascii="Century Gothic" w:hAnsi="Century Gothic"/>
                <w:sz w:val="22"/>
                <w:szCs w:val="22"/>
              </w:rPr>
              <w:t>teoría</w:t>
            </w:r>
            <w:r w:rsidR="009612C7" w:rsidRPr="009612C7">
              <w:rPr>
                <w:rFonts w:ascii="Century Gothic" w:hAnsi="Century Gothic"/>
                <w:sz w:val="22"/>
                <w:szCs w:val="22"/>
              </w:rPr>
              <w:t xml:space="preserve"> concreta de </w:t>
            </w:r>
            <w:r w:rsidRPr="009612C7">
              <w:rPr>
                <w:rFonts w:ascii="Century Gothic" w:hAnsi="Century Gothic"/>
                <w:sz w:val="22"/>
                <w:szCs w:val="22"/>
              </w:rPr>
              <w:t>Wacha</w:t>
            </w:r>
            <w:r w:rsidR="009612C7" w:rsidRPr="009612C7">
              <w:rPr>
                <w:rFonts w:ascii="Century Gothic" w:hAnsi="Century Gothic"/>
                <w:sz w:val="22"/>
                <w:szCs w:val="22"/>
              </w:rPr>
              <w:t xml:space="preserve"> y </w:t>
            </w:r>
            <w:r w:rsidRPr="009612C7">
              <w:rPr>
                <w:rFonts w:ascii="Century Gothic" w:hAnsi="Century Gothic"/>
                <w:sz w:val="22"/>
                <w:szCs w:val="22"/>
              </w:rPr>
              <w:t>teoría</w:t>
            </w:r>
            <w:r w:rsidR="009612C7" w:rsidRPr="009612C7">
              <w:rPr>
                <w:rFonts w:ascii="Century Gothic" w:hAnsi="Century Gothic"/>
                <w:sz w:val="22"/>
                <w:szCs w:val="22"/>
              </w:rPr>
              <w:t xml:space="preserve"> abstracta de Degenkolb. La </w:t>
            </w:r>
            <w:r w:rsidRPr="009612C7">
              <w:rPr>
                <w:rFonts w:ascii="Century Gothic" w:hAnsi="Century Gothic"/>
                <w:sz w:val="22"/>
                <w:szCs w:val="22"/>
              </w:rPr>
              <w:t>acción</w:t>
            </w:r>
            <w:r w:rsidR="009612C7" w:rsidRPr="009612C7">
              <w:rPr>
                <w:rFonts w:ascii="Century Gothic" w:hAnsi="Century Gothic"/>
                <w:sz w:val="22"/>
                <w:szCs w:val="22"/>
              </w:rPr>
              <w:t xml:space="preserve"> como derecho fundamental </w:t>
            </w:r>
            <w:r w:rsidRPr="009612C7">
              <w:rPr>
                <w:rFonts w:ascii="Century Gothic" w:hAnsi="Century Gothic"/>
                <w:sz w:val="22"/>
                <w:szCs w:val="22"/>
              </w:rPr>
              <w:t>autónomo</w:t>
            </w:r>
            <w:r w:rsidR="009612C7" w:rsidRPr="009612C7">
              <w:rPr>
                <w:rFonts w:ascii="Century Gothic" w:hAnsi="Century Gothic"/>
                <w:sz w:val="22"/>
                <w:szCs w:val="22"/>
              </w:rPr>
              <w:t xml:space="preserve"> en Colombia: Art. 229 C.P. y Art. 2 CGP. Elementos esenciales: </w:t>
            </w:r>
            <w:r w:rsidRPr="009612C7">
              <w:rPr>
                <w:rFonts w:ascii="Century Gothic" w:hAnsi="Century Gothic"/>
                <w:sz w:val="22"/>
                <w:szCs w:val="22"/>
              </w:rPr>
              <w:t>autonomía</w:t>
            </w:r>
            <w:r w:rsidR="009612C7" w:rsidRPr="009612C7">
              <w:rPr>
                <w:rFonts w:ascii="Century Gothic" w:hAnsi="Century Gothic"/>
                <w:sz w:val="22"/>
                <w:szCs w:val="22"/>
              </w:rPr>
              <w:t xml:space="preserve">, </w:t>
            </w:r>
            <w:r w:rsidRPr="009612C7">
              <w:rPr>
                <w:rFonts w:ascii="Century Gothic" w:hAnsi="Century Gothic"/>
                <w:sz w:val="22"/>
                <w:szCs w:val="22"/>
              </w:rPr>
              <w:t>abstracción</w:t>
            </w:r>
            <w:r w:rsidR="009612C7" w:rsidRPr="009612C7">
              <w:rPr>
                <w:rFonts w:ascii="Century Gothic" w:hAnsi="Century Gothic"/>
                <w:sz w:val="22"/>
                <w:szCs w:val="22"/>
              </w:rPr>
              <w:t xml:space="preserve">, </w:t>
            </w:r>
            <w:r w:rsidRPr="009612C7">
              <w:rPr>
                <w:rFonts w:ascii="Century Gothic" w:hAnsi="Century Gothic"/>
                <w:sz w:val="22"/>
                <w:szCs w:val="22"/>
              </w:rPr>
              <w:t>carácter</w:t>
            </w:r>
            <w:r w:rsidR="009612C7" w:rsidRPr="009612C7">
              <w:rPr>
                <w:rFonts w:ascii="Century Gothic" w:hAnsi="Century Gothic"/>
                <w:sz w:val="22"/>
                <w:szCs w:val="22"/>
              </w:rPr>
              <w:t xml:space="preserve"> </w:t>
            </w:r>
            <w:r w:rsidRPr="009612C7">
              <w:rPr>
                <w:rFonts w:ascii="Century Gothic" w:hAnsi="Century Gothic"/>
                <w:sz w:val="22"/>
                <w:szCs w:val="22"/>
              </w:rPr>
              <w:t>público</w:t>
            </w:r>
            <w:r w:rsidR="009612C7" w:rsidRPr="009612C7">
              <w:rPr>
                <w:rFonts w:ascii="Century Gothic" w:hAnsi="Century Gothic"/>
                <w:sz w:val="22"/>
                <w:szCs w:val="22"/>
              </w:rPr>
              <w:t xml:space="preserve"> y la </w:t>
            </w:r>
            <w:r w:rsidRPr="009612C7">
              <w:rPr>
                <w:rFonts w:ascii="Century Gothic" w:hAnsi="Century Gothic"/>
                <w:sz w:val="22"/>
                <w:szCs w:val="22"/>
              </w:rPr>
              <w:t>obligación</w:t>
            </w:r>
            <w:r w:rsidR="009612C7" w:rsidRPr="009612C7">
              <w:rPr>
                <w:rFonts w:ascii="Century Gothic" w:hAnsi="Century Gothic"/>
                <w:sz w:val="22"/>
                <w:szCs w:val="22"/>
              </w:rPr>
              <w:t xml:space="preserve"> del </w:t>
            </w:r>
            <w:r w:rsidR="009612C7" w:rsidRPr="009612C7">
              <w:rPr>
                <w:rFonts w:ascii="Century Gothic" w:hAnsi="Century Gothic"/>
                <w:sz w:val="22"/>
                <w:szCs w:val="22"/>
              </w:rPr>
              <w:lastRenderedPageBreak/>
              <w:t xml:space="preserve">Estado de tramitar. Condiciones de la </w:t>
            </w:r>
            <w:r w:rsidRPr="009612C7">
              <w:rPr>
                <w:rFonts w:ascii="Century Gothic" w:hAnsi="Century Gothic"/>
                <w:sz w:val="22"/>
                <w:szCs w:val="22"/>
              </w:rPr>
              <w:t>acción</w:t>
            </w:r>
            <w:r w:rsidR="009612C7" w:rsidRPr="009612C7">
              <w:rPr>
                <w:rFonts w:ascii="Century Gothic" w:hAnsi="Century Gothic"/>
                <w:sz w:val="22"/>
                <w:szCs w:val="22"/>
              </w:rPr>
              <w:t xml:space="preserve">: </w:t>
            </w:r>
            <w:r w:rsidRPr="009612C7">
              <w:rPr>
                <w:rFonts w:ascii="Century Gothic" w:hAnsi="Century Gothic"/>
                <w:sz w:val="22"/>
                <w:szCs w:val="22"/>
              </w:rPr>
              <w:t>legitimación</w:t>
            </w:r>
            <w:r w:rsidR="009612C7" w:rsidRPr="009612C7">
              <w:rPr>
                <w:rFonts w:ascii="Century Gothic" w:hAnsi="Century Gothic"/>
                <w:sz w:val="22"/>
                <w:szCs w:val="22"/>
              </w:rPr>
              <w:t xml:space="preserve">, </w:t>
            </w:r>
            <w:r w:rsidRPr="009612C7">
              <w:rPr>
                <w:rFonts w:ascii="Century Gothic" w:hAnsi="Century Gothic"/>
                <w:sz w:val="22"/>
                <w:szCs w:val="22"/>
              </w:rPr>
              <w:t>interés</w:t>
            </w:r>
            <w:r w:rsidR="009612C7" w:rsidRPr="009612C7">
              <w:rPr>
                <w:rFonts w:ascii="Century Gothic" w:hAnsi="Century Gothic"/>
                <w:sz w:val="22"/>
                <w:szCs w:val="22"/>
              </w:rPr>
              <w:t xml:space="preserve"> y posibilidad juridica.</w:t>
            </w:r>
          </w:p>
        </w:tc>
      </w:tr>
    </w:tbl>
    <w:p w14:paraId="67606DA3" w14:textId="77777777" w:rsidR="009612C7" w:rsidRPr="009612C7" w:rsidRDefault="009612C7" w:rsidP="009612C7">
      <w:pPr>
        <w:spacing w:after="0" w:line="240" w:lineRule="auto"/>
        <w:jc w:val="both"/>
        <w:rPr>
          <w:rFonts w:ascii="Century Gothic" w:hAnsi="Century Gothic"/>
          <w:sz w:val="22"/>
          <w:szCs w:val="22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62"/>
        <w:gridCol w:w="8266"/>
      </w:tblGrid>
      <w:tr w:rsidR="009612C7" w:rsidRPr="009612C7" w14:paraId="0F675BD7" w14:textId="77777777" w:rsidTr="009612C7">
        <w:tc>
          <w:tcPr>
            <w:tcW w:w="0" w:type="auto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1A3A5C"/>
            <w:tcMar>
              <w:top w:w="100" w:type="dxa"/>
              <w:left w:w="120" w:type="dxa"/>
              <w:bottom w:w="100" w:type="dxa"/>
              <w:right w:w="120" w:type="dxa"/>
            </w:tcMar>
            <w:hideMark/>
          </w:tcPr>
          <w:p w14:paraId="795AE60C" w14:textId="2F0B902D" w:rsidR="009612C7" w:rsidRPr="009612C7" w:rsidRDefault="0052644E" w:rsidP="009612C7">
            <w:pPr>
              <w:spacing w:after="0" w:line="240" w:lineRule="auto"/>
              <w:jc w:val="both"/>
              <w:rPr>
                <w:rFonts w:ascii="Century Gothic" w:hAnsi="Century Gothic"/>
                <w:sz w:val="22"/>
                <w:szCs w:val="22"/>
              </w:rPr>
            </w:pPr>
            <w:r w:rsidRPr="009612C7">
              <w:rPr>
                <w:rFonts w:ascii="Century Gothic" w:hAnsi="Century Gothic"/>
                <w:b/>
                <w:bCs/>
                <w:sz w:val="22"/>
                <w:szCs w:val="22"/>
              </w:rPr>
              <w:t>CH</w:t>
            </w:r>
          </w:p>
        </w:tc>
        <w:tc>
          <w:tcPr>
            <w:tcW w:w="0" w:type="auto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5F8FC"/>
            <w:tcMar>
              <w:top w:w="100" w:type="dxa"/>
              <w:left w:w="160" w:type="dxa"/>
              <w:bottom w:w="100" w:type="dxa"/>
              <w:right w:w="160" w:type="dxa"/>
            </w:tcMar>
            <w:hideMark/>
          </w:tcPr>
          <w:p w14:paraId="2F38406A" w14:textId="30FE4A20" w:rsidR="009612C7" w:rsidRPr="009612C7" w:rsidRDefault="009612C7" w:rsidP="009612C7">
            <w:pPr>
              <w:spacing w:after="0" w:line="240" w:lineRule="auto"/>
              <w:jc w:val="both"/>
              <w:rPr>
                <w:rFonts w:ascii="Century Gothic" w:hAnsi="Century Gothic"/>
                <w:sz w:val="22"/>
                <w:szCs w:val="22"/>
              </w:rPr>
            </w:pPr>
            <w:r w:rsidRPr="009612C7">
              <w:rPr>
                <w:rFonts w:ascii="Century Gothic" w:hAnsi="Century Gothic"/>
                <w:b/>
                <w:bCs/>
                <w:sz w:val="22"/>
                <w:szCs w:val="22"/>
              </w:rPr>
              <w:t xml:space="preserve">La </w:t>
            </w:r>
            <w:r w:rsidR="0052644E" w:rsidRPr="009612C7">
              <w:rPr>
                <w:rFonts w:ascii="Century Gothic" w:hAnsi="Century Gothic"/>
                <w:b/>
                <w:bCs/>
                <w:sz w:val="22"/>
                <w:szCs w:val="22"/>
              </w:rPr>
              <w:t>Pretensión</w:t>
            </w:r>
            <w:r w:rsidRPr="009612C7">
              <w:rPr>
                <w:rFonts w:ascii="Century Gothic" w:hAnsi="Century Gothic"/>
                <w:b/>
                <w:bCs/>
                <w:sz w:val="22"/>
                <w:szCs w:val="22"/>
              </w:rPr>
              <w:t xml:space="preserve"> y la </w:t>
            </w:r>
            <w:r w:rsidR="0052644E" w:rsidRPr="009612C7">
              <w:rPr>
                <w:rFonts w:ascii="Century Gothic" w:hAnsi="Century Gothic"/>
                <w:b/>
                <w:bCs/>
                <w:sz w:val="22"/>
                <w:szCs w:val="22"/>
              </w:rPr>
              <w:t>Contradicción</w:t>
            </w:r>
          </w:p>
          <w:p w14:paraId="1C0BE545" w14:textId="581D791F" w:rsidR="009612C7" w:rsidRPr="009612C7" w:rsidRDefault="009612C7" w:rsidP="009612C7">
            <w:pPr>
              <w:spacing w:after="0" w:line="240" w:lineRule="auto"/>
              <w:jc w:val="both"/>
              <w:rPr>
                <w:rFonts w:ascii="Century Gothic" w:hAnsi="Century Gothic"/>
                <w:sz w:val="22"/>
                <w:szCs w:val="22"/>
              </w:rPr>
            </w:pPr>
            <w:r w:rsidRPr="009612C7">
              <w:rPr>
                <w:rFonts w:ascii="Century Gothic" w:hAnsi="Century Gothic"/>
                <w:sz w:val="22"/>
                <w:szCs w:val="22"/>
              </w:rPr>
              <w:t xml:space="preserve">La </w:t>
            </w:r>
            <w:r w:rsidR="0052644E" w:rsidRPr="009612C7">
              <w:rPr>
                <w:rFonts w:ascii="Century Gothic" w:hAnsi="Century Gothic"/>
                <w:sz w:val="22"/>
                <w:szCs w:val="22"/>
              </w:rPr>
              <w:t>pretensión</w:t>
            </w:r>
            <w:r w:rsidRPr="009612C7">
              <w:rPr>
                <w:rFonts w:ascii="Century Gothic" w:hAnsi="Century Gothic"/>
                <w:sz w:val="22"/>
                <w:szCs w:val="22"/>
              </w:rPr>
              <w:t xml:space="preserve"> procesal: concepto de Guasp, elementos (sujetos, objeto y causa petendi) y </w:t>
            </w:r>
            <w:r w:rsidR="0052644E" w:rsidRPr="009612C7">
              <w:rPr>
                <w:rFonts w:ascii="Century Gothic" w:hAnsi="Century Gothic"/>
                <w:sz w:val="22"/>
                <w:szCs w:val="22"/>
              </w:rPr>
              <w:t>clasificación</w:t>
            </w:r>
            <w:r w:rsidRPr="009612C7">
              <w:rPr>
                <w:rFonts w:ascii="Century Gothic" w:hAnsi="Century Gothic"/>
                <w:sz w:val="22"/>
                <w:szCs w:val="22"/>
              </w:rPr>
              <w:t xml:space="preserve"> del CGP (declarativa, constitutiva, condenatoria, ejecutiva). El principio de congruencia (Art. 281 CGP). La </w:t>
            </w:r>
            <w:r w:rsidR="0052644E" w:rsidRPr="009612C7">
              <w:rPr>
                <w:rFonts w:ascii="Century Gothic" w:hAnsi="Century Gothic"/>
                <w:sz w:val="22"/>
                <w:szCs w:val="22"/>
              </w:rPr>
              <w:t>contradicción</w:t>
            </w:r>
            <w:r w:rsidRPr="009612C7">
              <w:rPr>
                <w:rFonts w:ascii="Century Gothic" w:hAnsi="Century Gothic"/>
                <w:sz w:val="22"/>
                <w:szCs w:val="22"/>
              </w:rPr>
              <w:t xml:space="preserve"> como derecho fundamental (Art. 29 C.P. / Art. 3 CGP): excepciones previas, excepciones de </w:t>
            </w:r>
            <w:r w:rsidR="0052644E" w:rsidRPr="009612C7">
              <w:rPr>
                <w:rFonts w:ascii="Century Gothic" w:hAnsi="Century Gothic"/>
                <w:sz w:val="22"/>
                <w:szCs w:val="22"/>
              </w:rPr>
              <w:t>mérito</w:t>
            </w:r>
            <w:r w:rsidRPr="009612C7">
              <w:rPr>
                <w:rFonts w:ascii="Century Gothic" w:hAnsi="Century Gothic"/>
                <w:sz w:val="22"/>
                <w:szCs w:val="22"/>
              </w:rPr>
              <w:t xml:space="preserve">, </w:t>
            </w:r>
            <w:r w:rsidR="0052644E" w:rsidRPr="009612C7">
              <w:rPr>
                <w:rFonts w:ascii="Century Gothic" w:hAnsi="Century Gothic"/>
                <w:sz w:val="22"/>
                <w:szCs w:val="22"/>
              </w:rPr>
              <w:t>reconvención</w:t>
            </w:r>
            <w:r w:rsidRPr="009612C7">
              <w:rPr>
                <w:rFonts w:ascii="Century Gothic" w:hAnsi="Century Gothic"/>
                <w:sz w:val="22"/>
                <w:szCs w:val="22"/>
              </w:rPr>
              <w:t xml:space="preserve"> y silencio del demandado.</w:t>
            </w:r>
          </w:p>
        </w:tc>
      </w:tr>
    </w:tbl>
    <w:p w14:paraId="0B3AFD6F" w14:textId="77777777" w:rsidR="009612C7" w:rsidRPr="009612C7" w:rsidRDefault="009612C7" w:rsidP="009612C7">
      <w:pPr>
        <w:spacing w:after="0" w:line="240" w:lineRule="auto"/>
        <w:jc w:val="both"/>
        <w:rPr>
          <w:rFonts w:ascii="Century Gothic" w:hAnsi="Century Gothic"/>
          <w:sz w:val="22"/>
          <w:szCs w:val="22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62"/>
        <w:gridCol w:w="8266"/>
      </w:tblGrid>
      <w:tr w:rsidR="009612C7" w:rsidRPr="009612C7" w14:paraId="174FAD50" w14:textId="77777777" w:rsidTr="009612C7">
        <w:tc>
          <w:tcPr>
            <w:tcW w:w="0" w:type="auto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1A3A5C"/>
            <w:tcMar>
              <w:top w:w="100" w:type="dxa"/>
              <w:left w:w="120" w:type="dxa"/>
              <w:bottom w:w="100" w:type="dxa"/>
              <w:right w:w="120" w:type="dxa"/>
            </w:tcMar>
            <w:hideMark/>
          </w:tcPr>
          <w:p w14:paraId="711932E2" w14:textId="442E9F0E" w:rsidR="009612C7" w:rsidRPr="009612C7" w:rsidRDefault="0052644E" w:rsidP="009612C7">
            <w:pPr>
              <w:spacing w:after="0" w:line="240" w:lineRule="auto"/>
              <w:jc w:val="both"/>
              <w:rPr>
                <w:rFonts w:ascii="Century Gothic" w:hAnsi="Century Gothic"/>
                <w:sz w:val="22"/>
                <w:szCs w:val="22"/>
              </w:rPr>
            </w:pPr>
            <w:r w:rsidRPr="009612C7">
              <w:rPr>
                <w:rFonts w:ascii="Century Gothic" w:hAnsi="Century Gothic"/>
                <w:b/>
                <w:bCs/>
                <w:sz w:val="22"/>
                <w:szCs w:val="22"/>
              </w:rPr>
              <w:t>CH</w:t>
            </w:r>
          </w:p>
        </w:tc>
        <w:tc>
          <w:tcPr>
            <w:tcW w:w="0" w:type="auto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5F8FC"/>
            <w:tcMar>
              <w:top w:w="100" w:type="dxa"/>
              <w:left w:w="160" w:type="dxa"/>
              <w:bottom w:w="100" w:type="dxa"/>
              <w:right w:w="160" w:type="dxa"/>
            </w:tcMar>
            <w:hideMark/>
          </w:tcPr>
          <w:p w14:paraId="6EC204B4" w14:textId="3AB0ABFB" w:rsidR="009612C7" w:rsidRPr="009612C7" w:rsidRDefault="009612C7" w:rsidP="009612C7">
            <w:pPr>
              <w:spacing w:after="0" w:line="240" w:lineRule="auto"/>
              <w:jc w:val="both"/>
              <w:rPr>
                <w:rFonts w:ascii="Century Gothic" w:hAnsi="Century Gothic"/>
                <w:sz w:val="22"/>
                <w:szCs w:val="22"/>
              </w:rPr>
            </w:pPr>
            <w:r w:rsidRPr="009612C7">
              <w:rPr>
                <w:rFonts w:ascii="Century Gothic" w:hAnsi="Century Gothic"/>
                <w:b/>
                <w:bCs/>
                <w:sz w:val="22"/>
                <w:szCs w:val="22"/>
              </w:rPr>
              <w:t xml:space="preserve">La </w:t>
            </w:r>
            <w:r w:rsidR="0052644E" w:rsidRPr="009612C7">
              <w:rPr>
                <w:rFonts w:ascii="Century Gothic" w:hAnsi="Century Gothic"/>
                <w:b/>
                <w:bCs/>
                <w:sz w:val="22"/>
                <w:szCs w:val="22"/>
              </w:rPr>
              <w:t>Jurisdicción</w:t>
            </w:r>
            <w:r w:rsidRPr="009612C7">
              <w:rPr>
                <w:rFonts w:ascii="Century Gothic" w:hAnsi="Century Gothic"/>
                <w:b/>
                <w:bCs/>
                <w:sz w:val="22"/>
                <w:szCs w:val="22"/>
              </w:rPr>
              <w:t>: El Poder de Juzgar</w:t>
            </w:r>
          </w:p>
          <w:p w14:paraId="243B704B" w14:textId="321164EA" w:rsidR="009612C7" w:rsidRPr="009612C7" w:rsidRDefault="009612C7" w:rsidP="009612C7">
            <w:pPr>
              <w:spacing w:after="0" w:line="240" w:lineRule="auto"/>
              <w:jc w:val="both"/>
              <w:rPr>
                <w:rFonts w:ascii="Century Gothic" w:hAnsi="Century Gothic"/>
                <w:sz w:val="22"/>
                <w:szCs w:val="22"/>
              </w:rPr>
            </w:pPr>
            <w:r w:rsidRPr="009612C7">
              <w:rPr>
                <w:rFonts w:ascii="Century Gothic" w:hAnsi="Century Gothic"/>
                <w:sz w:val="22"/>
                <w:szCs w:val="22"/>
              </w:rPr>
              <w:t xml:space="preserve">Concepto </w:t>
            </w:r>
            <w:r w:rsidR="0052644E" w:rsidRPr="009612C7">
              <w:rPr>
                <w:rFonts w:ascii="Century Gothic" w:hAnsi="Century Gothic"/>
                <w:sz w:val="22"/>
                <w:szCs w:val="22"/>
              </w:rPr>
              <w:t>etimológico</w:t>
            </w:r>
            <w:r w:rsidRPr="009612C7">
              <w:rPr>
                <w:rFonts w:ascii="Century Gothic" w:hAnsi="Century Gothic"/>
                <w:sz w:val="22"/>
                <w:szCs w:val="22"/>
              </w:rPr>
              <w:t xml:space="preserve"> y </w:t>
            </w:r>
            <w:r w:rsidR="0052644E" w:rsidRPr="009612C7">
              <w:rPr>
                <w:rFonts w:ascii="Century Gothic" w:hAnsi="Century Gothic"/>
                <w:sz w:val="22"/>
                <w:szCs w:val="22"/>
              </w:rPr>
              <w:t>jurídico</w:t>
            </w:r>
            <w:r w:rsidRPr="009612C7">
              <w:rPr>
                <w:rFonts w:ascii="Century Gothic" w:hAnsi="Century Gothic"/>
                <w:sz w:val="22"/>
                <w:szCs w:val="22"/>
              </w:rPr>
              <w:t xml:space="preserve"> de la </w:t>
            </w:r>
            <w:r w:rsidR="0052644E" w:rsidRPr="009612C7">
              <w:rPr>
                <w:rFonts w:ascii="Century Gothic" w:hAnsi="Century Gothic"/>
                <w:sz w:val="22"/>
                <w:szCs w:val="22"/>
              </w:rPr>
              <w:t>jurisdicción</w:t>
            </w:r>
            <w:r w:rsidRPr="009612C7">
              <w:rPr>
                <w:rFonts w:ascii="Century Gothic" w:hAnsi="Century Gothic"/>
                <w:sz w:val="22"/>
                <w:szCs w:val="22"/>
              </w:rPr>
              <w:t xml:space="preserve">. Fundamento constitucional: Art. 228 C.P. y Ley 270 de 1996. </w:t>
            </w:r>
            <w:r w:rsidR="0052644E" w:rsidRPr="009612C7">
              <w:rPr>
                <w:rFonts w:ascii="Century Gothic" w:hAnsi="Century Gothic"/>
                <w:sz w:val="22"/>
                <w:szCs w:val="22"/>
              </w:rPr>
              <w:t>Características</w:t>
            </w:r>
            <w:r w:rsidRPr="009612C7">
              <w:rPr>
                <w:rFonts w:ascii="Century Gothic" w:hAnsi="Century Gothic"/>
                <w:sz w:val="22"/>
                <w:szCs w:val="22"/>
              </w:rPr>
              <w:t xml:space="preserve">: exclusividad, permanencia, independencia, unidad, cosa juzgada y coercitividad. Diferencia fundamental entre </w:t>
            </w:r>
            <w:r w:rsidR="0052644E" w:rsidRPr="009612C7">
              <w:rPr>
                <w:rFonts w:ascii="Century Gothic" w:hAnsi="Century Gothic"/>
                <w:sz w:val="22"/>
                <w:szCs w:val="22"/>
              </w:rPr>
              <w:t>jurisdicción</w:t>
            </w:r>
            <w:r w:rsidRPr="009612C7">
              <w:rPr>
                <w:rFonts w:ascii="Century Gothic" w:hAnsi="Century Gothic"/>
                <w:sz w:val="22"/>
                <w:szCs w:val="22"/>
              </w:rPr>
              <w:t xml:space="preserve"> y competencia con </w:t>
            </w:r>
            <w:r w:rsidR="0052644E" w:rsidRPr="009612C7">
              <w:rPr>
                <w:rFonts w:ascii="Century Gothic" w:hAnsi="Century Gothic"/>
                <w:sz w:val="22"/>
                <w:szCs w:val="22"/>
              </w:rPr>
              <w:t>analogía</w:t>
            </w:r>
            <w:r w:rsidRPr="009612C7">
              <w:rPr>
                <w:rFonts w:ascii="Century Gothic" w:hAnsi="Century Gothic"/>
                <w:sz w:val="22"/>
                <w:szCs w:val="22"/>
              </w:rPr>
              <w:t xml:space="preserve"> </w:t>
            </w:r>
            <w:r w:rsidR="0052644E" w:rsidRPr="009612C7">
              <w:rPr>
                <w:rFonts w:ascii="Century Gothic" w:hAnsi="Century Gothic"/>
                <w:sz w:val="22"/>
                <w:szCs w:val="22"/>
              </w:rPr>
              <w:t>pedagógica</w:t>
            </w:r>
            <w:r w:rsidRPr="009612C7">
              <w:rPr>
                <w:rFonts w:ascii="Century Gothic" w:hAnsi="Century Gothic"/>
                <w:sz w:val="22"/>
                <w:szCs w:val="22"/>
              </w:rPr>
              <w:t>. Responsabilidad del juez: disciplinaria, penal y patrimonial del Estado (Art. 90 C.P.).</w:t>
            </w:r>
          </w:p>
        </w:tc>
      </w:tr>
    </w:tbl>
    <w:p w14:paraId="66B89526" w14:textId="77777777" w:rsidR="009612C7" w:rsidRPr="009612C7" w:rsidRDefault="009612C7" w:rsidP="009612C7">
      <w:pPr>
        <w:spacing w:after="0" w:line="240" w:lineRule="auto"/>
        <w:jc w:val="both"/>
        <w:rPr>
          <w:rFonts w:ascii="Century Gothic" w:hAnsi="Century Gothic"/>
          <w:sz w:val="22"/>
          <w:szCs w:val="22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62"/>
        <w:gridCol w:w="8266"/>
      </w:tblGrid>
      <w:tr w:rsidR="009612C7" w:rsidRPr="009612C7" w14:paraId="25F5848F" w14:textId="77777777" w:rsidTr="009612C7">
        <w:tc>
          <w:tcPr>
            <w:tcW w:w="0" w:type="auto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1A3A5C"/>
            <w:tcMar>
              <w:top w:w="100" w:type="dxa"/>
              <w:left w:w="120" w:type="dxa"/>
              <w:bottom w:w="100" w:type="dxa"/>
              <w:right w:w="120" w:type="dxa"/>
            </w:tcMar>
            <w:hideMark/>
          </w:tcPr>
          <w:p w14:paraId="523ED0C2" w14:textId="58EFB1F9" w:rsidR="009612C7" w:rsidRPr="009612C7" w:rsidRDefault="0052644E" w:rsidP="009612C7">
            <w:pPr>
              <w:spacing w:after="0" w:line="240" w:lineRule="auto"/>
              <w:jc w:val="both"/>
              <w:rPr>
                <w:rFonts w:ascii="Century Gothic" w:hAnsi="Century Gothic"/>
                <w:sz w:val="22"/>
                <w:szCs w:val="22"/>
              </w:rPr>
            </w:pPr>
            <w:r w:rsidRPr="009612C7">
              <w:rPr>
                <w:rFonts w:ascii="Century Gothic" w:hAnsi="Century Gothic"/>
                <w:b/>
                <w:bCs/>
                <w:sz w:val="22"/>
                <w:szCs w:val="22"/>
              </w:rPr>
              <w:t>CH</w:t>
            </w:r>
          </w:p>
        </w:tc>
        <w:tc>
          <w:tcPr>
            <w:tcW w:w="0" w:type="auto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5F8FC"/>
            <w:tcMar>
              <w:top w:w="100" w:type="dxa"/>
              <w:left w:w="160" w:type="dxa"/>
              <w:bottom w:w="100" w:type="dxa"/>
              <w:right w:w="160" w:type="dxa"/>
            </w:tcMar>
            <w:hideMark/>
          </w:tcPr>
          <w:p w14:paraId="4EDB8947" w14:textId="4663FC2E" w:rsidR="009612C7" w:rsidRPr="009612C7" w:rsidRDefault="009612C7" w:rsidP="009612C7">
            <w:pPr>
              <w:spacing w:after="0" w:line="240" w:lineRule="auto"/>
              <w:jc w:val="both"/>
              <w:rPr>
                <w:rFonts w:ascii="Century Gothic" w:hAnsi="Century Gothic"/>
                <w:sz w:val="22"/>
                <w:szCs w:val="22"/>
              </w:rPr>
            </w:pPr>
            <w:r w:rsidRPr="009612C7">
              <w:rPr>
                <w:rFonts w:ascii="Century Gothic" w:hAnsi="Century Gothic"/>
                <w:b/>
                <w:bCs/>
                <w:sz w:val="22"/>
                <w:szCs w:val="22"/>
              </w:rPr>
              <w:t xml:space="preserve">Especialidades de la </w:t>
            </w:r>
            <w:r w:rsidR="0052644E" w:rsidRPr="009612C7">
              <w:rPr>
                <w:rFonts w:ascii="Century Gothic" w:hAnsi="Century Gothic"/>
                <w:b/>
                <w:bCs/>
                <w:sz w:val="22"/>
                <w:szCs w:val="22"/>
              </w:rPr>
              <w:t>Jurisdicción</w:t>
            </w:r>
            <w:r w:rsidRPr="009612C7">
              <w:rPr>
                <w:rFonts w:ascii="Century Gothic" w:hAnsi="Century Gothic"/>
                <w:b/>
                <w:bCs/>
                <w:sz w:val="22"/>
                <w:szCs w:val="22"/>
              </w:rPr>
              <w:t xml:space="preserve"> en Colombia</w:t>
            </w:r>
          </w:p>
          <w:p w14:paraId="572E4AB9" w14:textId="1CA2356C" w:rsidR="009612C7" w:rsidRPr="009612C7" w:rsidRDefault="009612C7" w:rsidP="009612C7">
            <w:pPr>
              <w:spacing w:after="0" w:line="240" w:lineRule="auto"/>
              <w:jc w:val="both"/>
              <w:rPr>
                <w:rFonts w:ascii="Century Gothic" w:hAnsi="Century Gothic"/>
                <w:sz w:val="22"/>
                <w:szCs w:val="22"/>
              </w:rPr>
            </w:pPr>
            <w:r w:rsidRPr="009612C7">
              <w:rPr>
                <w:rFonts w:ascii="Century Gothic" w:hAnsi="Century Gothic"/>
                <w:sz w:val="22"/>
                <w:szCs w:val="22"/>
              </w:rPr>
              <w:t>Las cuatro grandes jurisdicciones colombianas: Ordinaria (CSJ, Tribunales, Juzgados civiles, laborales, familia, penales), Contencioso-Administrativa (Consejo de Estado, Tribunales Administrativos, Ley 1437/11), Constitucional (Corte Constitucional, Art. 241 C.P.) y Especiales (</w:t>
            </w:r>
            <w:r w:rsidR="0052644E" w:rsidRPr="009612C7">
              <w:rPr>
                <w:rFonts w:ascii="Century Gothic" w:hAnsi="Century Gothic"/>
                <w:sz w:val="22"/>
                <w:szCs w:val="22"/>
              </w:rPr>
              <w:t>indígena</w:t>
            </w:r>
            <w:r w:rsidRPr="009612C7">
              <w:rPr>
                <w:rFonts w:ascii="Century Gothic" w:hAnsi="Century Gothic"/>
                <w:sz w:val="22"/>
                <w:szCs w:val="22"/>
              </w:rPr>
              <w:t xml:space="preserve"> Art. 246 C.P., Jueces de Paz Ley 497/99). Estructura piramidal de la </w:t>
            </w:r>
            <w:r w:rsidR="0052644E" w:rsidRPr="009612C7">
              <w:rPr>
                <w:rFonts w:ascii="Century Gothic" w:hAnsi="Century Gothic"/>
                <w:sz w:val="22"/>
                <w:szCs w:val="22"/>
              </w:rPr>
              <w:t>jurisdicción</w:t>
            </w:r>
            <w:r w:rsidRPr="009612C7">
              <w:rPr>
                <w:rFonts w:ascii="Century Gothic" w:hAnsi="Century Gothic"/>
                <w:sz w:val="22"/>
                <w:szCs w:val="22"/>
              </w:rPr>
              <w:t xml:space="preserve"> civil ordinaria y </w:t>
            </w:r>
            <w:r w:rsidR="0052644E" w:rsidRPr="009612C7">
              <w:rPr>
                <w:rFonts w:ascii="Century Gothic" w:hAnsi="Century Gothic"/>
                <w:sz w:val="22"/>
                <w:szCs w:val="22"/>
              </w:rPr>
              <w:t>cuantías</w:t>
            </w:r>
            <w:r w:rsidRPr="009612C7">
              <w:rPr>
                <w:rFonts w:ascii="Century Gothic" w:hAnsi="Century Gothic"/>
                <w:sz w:val="22"/>
                <w:szCs w:val="22"/>
              </w:rPr>
              <w:t xml:space="preserve"> vigentes 2025.</w:t>
            </w:r>
          </w:p>
        </w:tc>
      </w:tr>
    </w:tbl>
    <w:p w14:paraId="56EB2442" w14:textId="77777777" w:rsidR="009612C7" w:rsidRPr="009612C7" w:rsidRDefault="009612C7" w:rsidP="009612C7">
      <w:pPr>
        <w:spacing w:after="0" w:line="240" w:lineRule="auto"/>
        <w:jc w:val="both"/>
        <w:rPr>
          <w:rFonts w:ascii="Century Gothic" w:hAnsi="Century Gothic"/>
          <w:sz w:val="22"/>
          <w:szCs w:val="22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62"/>
        <w:gridCol w:w="8266"/>
      </w:tblGrid>
      <w:tr w:rsidR="009612C7" w:rsidRPr="009612C7" w14:paraId="68663ABF" w14:textId="77777777" w:rsidTr="009612C7">
        <w:tc>
          <w:tcPr>
            <w:tcW w:w="0" w:type="auto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1A3A5C"/>
            <w:tcMar>
              <w:top w:w="100" w:type="dxa"/>
              <w:left w:w="120" w:type="dxa"/>
              <w:bottom w:w="100" w:type="dxa"/>
              <w:right w:w="120" w:type="dxa"/>
            </w:tcMar>
            <w:hideMark/>
          </w:tcPr>
          <w:p w14:paraId="15DAEEAA" w14:textId="06136A44" w:rsidR="009612C7" w:rsidRPr="009612C7" w:rsidRDefault="0052644E" w:rsidP="009612C7">
            <w:pPr>
              <w:spacing w:after="0" w:line="240" w:lineRule="auto"/>
              <w:jc w:val="both"/>
              <w:rPr>
                <w:rFonts w:ascii="Century Gothic" w:hAnsi="Century Gothic"/>
                <w:sz w:val="22"/>
                <w:szCs w:val="22"/>
              </w:rPr>
            </w:pPr>
            <w:r w:rsidRPr="009612C7">
              <w:rPr>
                <w:rFonts w:ascii="Century Gothic" w:hAnsi="Century Gothic"/>
                <w:b/>
                <w:bCs/>
                <w:sz w:val="22"/>
                <w:szCs w:val="22"/>
              </w:rPr>
              <w:t>CH</w:t>
            </w:r>
          </w:p>
        </w:tc>
        <w:tc>
          <w:tcPr>
            <w:tcW w:w="0" w:type="auto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5F8FC"/>
            <w:tcMar>
              <w:top w:w="100" w:type="dxa"/>
              <w:left w:w="160" w:type="dxa"/>
              <w:bottom w:w="100" w:type="dxa"/>
              <w:right w:w="160" w:type="dxa"/>
            </w:tcMar>
            <w:hideMark/>
          </w:tcPr>
          <w:p w14:paraId="0B02BED0" w14:textId="77777777" w:rsidR="009612C7" w:rsidRPr="009612C7" w:rsidRDefault="009612C7" w:rsidP="009612C7">
            <w:pPr>
              <w:spacing w:after="0" w:line="240" w:lineRule="auto"/>
              <w:jc w:val="both"/>
              <w:rPr>
                <w:rFonts w:ascii="Century Gothic" w:hAnsi="Century Gothic"/>
                <w:sz w:val="22"/>
                <w:szCs w:val="22"/>
              </w:rPr>
            </w:pPr>
            <w:r w:rsidRPr="009612C7">
              <w:rPr>
                <w:rFonts w:ascii="Century Gothic" w:hAnsi="Century Gothic"/>
                <w:b/>
                <w:bCs/>
                <w:sz w:val="22"/>
                <w:szCs w:val="22"/>
              </w:rPr>
              <w:t>Equivalentes Jurisdiccionales</w:t>
            </w:r>
          </w:p>
          <w:p w14:paraId="035ED6E1" w14:textId="75C29564" w:rsidR="009612C7" w:rsidRPr="009612C7" w:rsidRDefault="009612C7" w:rsidP="009612C7">
            <w:pPr>
              <w:spacing w:after="0" w:line="240" w:lineRule="auto"/>
              <w:jc w:val="both"/>
              <w:rPr>
                <w:rFonts w:ascii="Century Gothic" w:hAnsi="Century Gothic"/>
                <w:sz w:val="22"/>
                <w:szCs w:val="22"/>
              </w:rPr>
            </w:pPr>
            <w:r w:rsidRPr="009612C7">
              <w:rPr>
                <w:rFonts w:ascii="Century Gothic" w:hAnsi="Century Gothic"/>
                <w:sz w:val="22"/>
                <w:szCs w:val="22"/>
              </w:rPr>
              <w:t xml:space="preserve">Concepto constitucional: Art. 116 C.P. inciso final. El arbitraje (Ley 1563/12): laudo con efectos de sentencia. La </w:t>
            </w:r>
            <w:r w:rsidR="0052644E" w:rsidRPr="009612C7">
              <w:rPr>
                <w:rFonts w:ascii="Century Gothic" w:hAnsi="Century Gothic"/>
                <w:sz w:val="22"/>
                <w:szCs w:val="22"/>
              </w:rPr>
              <w:t>conciliación</w:t>
            </w:r>
            <w:r w:rsidRPr="009612C7">
              <w:rPr>
                <w:rFonts w:ascii="Century Gothic" w:hAnsi="Century Gothic"/>
                <w:sz w:val="22"/>
                <w:szCs w:val="22"/>
              </w:rPr>
              <w:t xml:space="preserve"> con efectos de cosa juzgada (Ley 640/01 / Art. 66 Ley 446/98). Las Superintendencias con funciones jurisdiccionales (Art. 24 CGP): SIC (consumidor, Ley 1480/11), </w:t>
            </w:r>
            <w:r w:rsidR="0052644E" w:rsidRPr="009612C7">
              <w:rPr>
                <w:rFonts w:ascii="Century Gothic" w:hAnsi="Century Gothic"/>
                <w:sz w:val="22"/>
                <w:szCs w:val="22"/>
              </w:rPr>
              <w:t>SuperSociedades</w:t>
            </w:r>
            <w:r w:rsidRPr="009612C7">
              <w:rPr>
                <w:rFonts w:ascii="Century Gothic" w:hAnsi="Century Gothic"/>
                <w:sz w:val="22"/>
                <w:szCs w:val="22"/>
              </w:rPr>
              <w:t xml:space="preserve"> (societario, Ley 1116/06), Superfinanciera. Jueces de Paz (Ley 497/99) y notarios (</w:t>
            </w:r>
            <w:r w:rsidR="0052644E" w:rsidRPr="009612C7">
              <w:rPr>
                <w:rFonts w:ascii="Century Gothic" w:hAnsi="Century Gothic"/>
                <w:sz w:val="22"/>
                <w:szCs w:val="22"/>
              </w:rPr>
              <w:t>De</w:t>
            </w:r>
            <w:r w:rsidRPr="009612C7">
              <w:rPr>
                <w:rFonts w:ascii="Century Gothic" w:hAnsi="Century Gothic"/>
                <w:sz w:val="22"/>
                <w:szCs w:val="22"/>
              </w:rPr>
              <w:t xml:space="preserve">. 960/70 / Ley 962/05). Derecho de </w:t>
            </w:r>
            <w:r w:rsidR="0052644E" w:rsidRPr="009612C7">
              <w:rPr>
                <w:rFonts w:ascii="Century Gothic" w:hAnsi="Century Gothic"/>
                <w:sz w:val="22"/>
                <w:szCs w:val="22"/>
              </w:rPr>
              <w:t>elección</w:t>
            </w:r>
            <w:r w:rsidRPr="009612C7">
              <w:rPr>
                <w:rFonts w:ascii="Century Gothic" w:hAnsi="Century Gothic"/>
                <w:sz w:val="22"/>
                <w:szCs w:val="22"/>
              </w:rPr>
              <w:t xml:space="preserve"> del particular.</w:t>
            </w:r>
          </w:p>
        </w:tc>
      </w:tr>
    </w:tbl>
    <w:p w14:paraId="34E89664" w14:textId="77777777" w:rsidR="009612C7" w:rsidRPr="009612C7" w:rsidRDefault="009612C7" w:rsidP="009612C7">
      <w:pPr>
        <w:spacing w:after="0" w:line="240" w:lineRule="auto"/>
        <w:jc w:val="both"/>
        <w:rPr>
          <w:rFonts w:ascii="Century Gothic" w:hAnsi="Century Gothic"/>
          <w:sz w:val="22"/>
          <w:szCs w:val="22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62"/>
        <w:gridCol w:w="8266"/>
      </w:tblGrid>
      <w:tr w:rsidR="009612C7" w:rsidRPr="009612C7" w14:paraId="320FA908" w14:textId="77777777" w:rsidTr="009612C7">
        <w:tc>
          <w:tcPr>
            <w:tcW w:w="0" w:type="auto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1A3A5C"/>
            <w:tcMar>
              <w:top w:w="100" w:type="dxa"/>
              <w:left w:w="120" w:type="dxa"/>
              <w:bottom w:w="100" w:type="dxa"/>
              <w:right w:w="120" w:type="dxa"/>
            </w:tcMar>
            <w:hideMark/>
          </w:tcPr>
          <w:p w14:paraId="59DE4E79" w14:textId="65E5EBDB" w:rsidR="009612C7" w:rsidRPr="009612C7" w:rsidRDefault="0052644E" w:rsidP="009612C7">
            <w:pPr>
              <w:spacing w:after="0" w:line="240" w:lineRule="auto"/>
              <w:jc w:val="both"/>
              <w:rPr>
                <w:rFonts w:ascii="Century Gothic" w:hAnsi="Century Gothic"/>
                <w:sz w:val="22"/>
                <w:szCs w:val="22"/>
              </w:rPr>
            </w:pPr>
            <w:r w:rsidRPr="009612C7">
              <w:rPr>
                <w:rFonts w:ascii="Century Gothic" w:hAnsi="Century Gothic"/>
                <w:b/>
                <w:bCs/>
                <w:sz w:val="22"/>
                <w:szCs w:val="22"/>
              </w:rPr>
              <w:t>CH</w:t>
            </w:r>
          </w:p>
        </w:tc>
        <w:tc>
          <w:tcPr>
            <w:tcW w:w="0" w:type="auto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5F8FC"/>
            <w:tcMar>
              <w:top w:w="100" w:type="dxa"/>
              <w:left w:w="160" w:type="dxa"/>
              <w:bottom w:w="100" w:type="dxa"/>
              <w:right w:w="160" w:type="dxa"/>
            </w:tcMar>
            <w:hideMark/>
          </w:tcPr>
          <w:p w14:paraId="4075511F" w14:textId="5B2EF17D" w:rsidR="009612C7" w:rsidRPr="009612C7" w:rsidRDefault="0052644E" w:rsidP="009612C7">
            <w:pPr>
              <w:spacing w:after="0" w:line="240" w:lineRule="auto"/>
              <w:jc w:val="both"/>
              <w:rPr>
                <w:rFonts w:ascii="Century Gothic" w:hAnsi="Century Gothic"/>
                <w:sz w:val="22"/>
                <w:szCs w:val="22"/>
              </w:rPr>
            </w:pPr>
            <w:r w:rsidRPr="009612C7">
              <w:rPr>
                <w:rFonts w:ascii="Century Gothic" w:hAnsi="Century Gothic"/>
                <w:b/>
                <w:bCs/>
                <w:sz w:val="22"/>
                <w:szCs w:val="22"/>
              </w:rPr>
              <w:t>Integración</w:t>
            </w:r>
            <w:r w:rsidR="009612C7" w:rsidRPr="009612C7">
              <w:rPr>
                <w:rFonts w:ascii="Century Gothic" w:hAnsi="Century Gothic"/>
                <w:b/>
                <w:bCs/>
                <w:sz w:val="22"/>
                <w:szCs w:val="22"/>
              </w:rPr>
              <w:t xml:space="preserve"> y </w:t>
            </w:r>
            <w:r w:rsidRPr="009612C7">
              <w:rPr>
                <w:rFonts w:ascii="Century Gothic" w:hAnsi="Century Gothic"/>
                <w:b/>
                <w:bCs/>
                <w:sz w:val="22"/>
                <w:szCs w:val="22"/>
              </w:rPr>
              <w:t>Aplicación</w:t>
            </w:r>
            <w:r w:rsidR="009612C7" w:rsidRPr="009612C7">
              <w:rPr>
                <w:rFonts w:ascii="Century Gothic" w:hAnsi="Century Gothic"/>
                <w:b/>
                <w:bCs/>
                <w:sz w:val="22"/>
                <w:szCs w:val="22"/>
              </w:rPr>
              <w:t xml:space="preserve"> del Modulo</w:t>
            </w:r>
          </w:p>
          <w:p w14:paraId="6FB5F1F1" w14:textId="40A7E160" w:rsidR="009612C7" w:rsidRPr="009612C7" w:rsidRDefault="009612C7" w:rsidP="009612C7">
            <w:pPr>
              <w:spacing w:after="0" w:line="240" w:lineRule="auto"/>
              <w:jc w:val="both"/>
              <w:rPr>
                <w:rFonts w:ascii="Century Gothic" w:hAnsi="Century Gothic"/>
                <w:sz w:val="22"/>
                <w:szCs w:val="22"/>
              </w:rPr>
            </w:pPr>
            <w:r w:rsidRPr="009612C7">
              <w:rPr>
                <w:rFonts w:ascii="Century Gothic" w:hAnsi="Century Gothic"/>
                <w:sz w:val="22"/>
                <w:szCs w:val="22"/>
              </w:rPr>
              <w:t xml:space="preserve">Taller de cierre: </w:t>
            </w:r>
            <w:r w:rsidR="0052644E" w:rsidRPr="009612C7">
              <w:rPr>
                <w:rFonts w:ascii="Century Gothic" w:hAnsi="Century Gothic"/>
                <w:sz w:val="22"/>
                <w:szCs w:val="22"/>
              </w:rPr>
              <w:t>identificación</w:t>
            </w:r>
            <w:r w:rsidRPr="009612C7">
              <w:rPr>
                <w:rFonts w:ascii="Century Gothic" w:hAnsi="Century Gothic"/>
                <w:sz w:val="22"/>
                <w:szCs w:val="22"/>
              </w:rPr>
              <w:t xml:space="preserve"> de la </w:t>
            </w:r>
            <w:r w:rsidR="0052644E" w:rsidRPr="009612C7">
              <w:rPr>
                <w:rFonts w:ascii="Century Gothic" w:hAnsi="Century Gothic"/>
                <w:sz w:val="22"/>
                <w:szCs w:val="22"/>
              </w:rPr>
              <w:t>jurisdicción</w:t>
            </w:r>
            <w:r w:rsidRPr="009612C7">
              <w:rPr>
                <w:rFonts w:ascii="Century Gothic" w:hAnsi="Century Gothic"/>
                <w:sz w:val="22"/>
                <w:szCs w:val="22"/>
              </w:rPr>
              <w:t xml:space="preserve">, el tipo de </w:t>
            </w:r>
            <w:r w:rsidR="0052644E" w:rsidRPr="009612C7">
              <w:rPr>
                <w:rFonts w:ascii="Century Gothic" w:hAnsi="Century Gothic"/>
                <w:sz w:val="22"/>
                <w:szCs w:val="22"/>
              </w:rPr>
              <w:t>solución</w:t>
            </w:r>
            <w:r w:rsidRPr="009612C7">
              <w:rPr>
                <w:rFonts w:ascii="Century Gothic" w:hAnsi="Century Gothic"/>
                <w:sz w:val="22"/>
                <w:szCs w:val="22"/>
              </w:rPr>
              <w:t xml:space="preserve"> de conflicto y el equivalente jurisdiccional aplicable a casos concretos. </w:t>
            </w:r>
            <w:r w:rsidR="00DA519D">
              <w:rPr>
                <w:rFonts w:ascii="Century Gothic" w:hAnsi="Century Gothic"/>
                <w:sz w:val="22"/>
                <w:szCs w:val="22"/>
              </w:rPr>
              <w:t>}</w:t>
            </w:r>
          </w:p>
        </w:tc>
      </w:tr>
    </w:tbl>
    <w:p w14:paraId="1DD462C3" w14:textId="77777777" w:rsidR="009612C7" w:rsidRPr="009612C7" w:rsidRDefault="009612C7" w:rsidP="009612C7">
      <w:pPr>
        <w:spacing w:after="0" w:line="240" w:lineRule="auto"/>
        <w:jc w:val="both"/>
        <w:rPr>
          <w:rFonts w:ascii="Century Gothic" w:hAnsi="Century Gothic"/>
          <w:sz w:val="22"/>
          <w:szCs w:val="22"/>
        </w:rPr>
      </w:pPr>
    </w:p>
    <w:p w14:paraId="77DD97EC" w14:textId="77777777" w:rsidR="009612C7" w:rsidRPr="009612C7" w:rsidRDefault="009612C7" w:rsidP="009612C7">
      <w:pPr>
        <w:spacing w:after="0" w:line="240" w:lineRule="auto"/>
        <w:jc w:val="both"/>
        <w:rPr>
          <w:rFonts w:ascii="Century Gothic" w:hAnsi="Century Gothic"/>
          <w:sz w:val="22"/>
          <w:szCs w:val="22"/>
        </w:rPr>
      </w:pPr>
    </w:p>
    <w:p w14:paraId="0B1A24B6" w14:textId="77777777" w:rsidR="009612C7" w:rsidRPr="009612C7" w:rsidRDefault="009612C7" w:rsidP="009612C7">
      <w:pPr>
        <w:spacing w:after="0" w:line="240" w:lineRule="auto"/>
        <w:jc w:val="both"/>
        <w:rPr>
          <w:rFonts w:ascii="Century Gothic" w:hAnsi="Century Gothic"/>
          <w:sz w:val="22"/>
          <w:szCs w:val="22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051"/>
      </w:tblGrid>
      <w:tr w:rsidR="009612C7" w:rsidRPr="009612C7" w14:paraId="4643A2B4" w14:textId="77777777" w:rsidTr="009612C7">
        <w:tc>
          <w:tcPr>
            <w:tcW w:w="0" w:type="auto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1F5C8A"/>
            <w:tcMar>
              <w:top w:w="140" w:type="dxa"/>
              <w:left w:w="220" w:type="dxa"/>
              <w:bottom w:w="140" w:type="dxa"/>
              <w:right w:w="220" w:type="dxa"/>
            </w:tcMar>
            <w:hideMark/>
          </w:tcPr>
          <w:p w14:paraId="04FF03DB" w14:textId="77777777" w:rsidR="009612C7" w:rsidRPr="009612C7" w:rsidRDefault="009612C7" w:rsidP="009612C7">
            <w:pPr>
              <w:spacing w:after="0" w:line="240" w:lineRule="auto"/>
              <w:jc w:val="both"/>
              <w:rPr>
                <w:rFonts w:ascii="Century Gothic" w:hAnsi="Century Gothic"/>
                <w:sz w:val="22"/>
                <w:szCs w:val="22"/>
              </w:rPr>
            </w:pPr>
            <w:r w:rsidRPr="009612C7">
              <w:rPr>
                <w:rFonts w:ascii="Century Gothic" w:hAnsi="Century Gothic"/>
                <w:b/>
                <w:bCs/>
                <w:sz w:val="22"/>
                <w:szCs w:val="22"/>
              </w:rPr>
              <w:lastRenderedPageBreak/>
              <w:t>MODULO 2  LA COMPETENCIA Y EL REPARTO</w:t>
            </w:r>
          </w:p>
        </w:tc>
      </w:tr>
    </w:tbl>
    <w:p w14:paraId="2BC5AB6F" w14:textId="77777777" w:rsidR="009612C7" w:rsidRPr="009612C7" w:rsidRDefault="009612C7" w:rsidP="009612C7">
      <w:pPr>
        <w:spacing w:after="0" w:line="240" w:lineRule="auto"/>
        <w:jc w:val="both"/>
        <w:rPr>
          <w:rFonts w:ascii="Century Gothic" w:hAnsi="Century Gothic"/>
          <w:sz w:val="22"/>
          <w:szCs w:val="22"/>
        </w:rPr>
      </w:pPr>
    </w:p>
    <w:p w14:paraId="594E8535" w14:textId="77777777" w:rsidR="009612C7" w:rsidRPr="009612C7" w:rsidRDefault="009612C7" w:rsidP="009612C7">
      <w:pPr>
        <w:spacing w:after="0" w:line="240" w:lineRule="auto"/>
        <w:jc w:val="both"/>
        <w:rPr>
          <w:rFonts w:ascii="Century Gothic" w:hAnsi="Century Gothic"/>
          <w:sz w:val="22"/>
          <w:szCs w:val="22"/>
        </w:rPr>
      </w:pPr>
      <w:r w:rsidRPr="009612C7">
        <w:rPr>
          <w:rFonts w:ascii="Century Gothic" w:hAnsi="Century Gothic"/>
          <w:b/>
          <w:bCs/>
          <w:sz w:val="22"/>
          <w:szCs w:val="22"/>
        </w:rPr>
        <w:t xml:space="preserve">Enfoque: </w:t>
      </w:r>
      <w:r w:rsidRPr="009612C7">
        <w:rPr>
          <w:rFonts w:ascii="Century Gothic" w:hAnsi="Century Gothic"/>
          <w:i/>
          <w:iCs/>
          <w:sz w:val="22"/>
          <w:szCs w:val="22"/>
        </w:rPr>
        <w:t>"Buscando al Juez Correcto"</w:t>
      </w:r>
    </w:p>
    <w:p w14:paraId="345931D3" w14:textId="4C2FB00E" w:rsidR="009612C7" w:rsidRPr="009612C7" w:rsidRDefault="009612C7" w:rsidP="009612C7">
      <w:pPr>
        <w:spacing w:after="0" w:line="240" w:lineRule="auto"/>
        <w:jc w:val="both"/>
        <w:rPr>
          <w:rFonts w:ascii="Century Gothic" w:hAnsi="Century Gothic"/>
          <w:sz w:val="22"/>
          <w:szCs w:val="22"/>
        </w:rPr>
      </w:pPr>
      <w:r w:rsidRPr="009612C7">
        <w:rPr>
          <w:rFonts w:ascii="Century Gothic" w:hAnsi="Century Gothic"/>
          <w:sz w:val="22"/>
          <w:szCs w:val="22"/>
        </w:rPr>
        <w:t xml:space="preserve">Este </w:t>
      </w:r>
      <w:r w:rsidR="0052644E" w:rsidRPr="009612C7">
        <w:rPr>
          <w:rFonts w:ascii="Century Gothic" w:hAnsi="Century Gothic"/>
          <w:sz w:val="22"/>
          <w:szCs w:val="22"/>
        </w:rPr>
        <w:t>módulo</w:t>
      </w:r>
      <w:r w:rsidRPr="009612C7">
        <w:rPr>
          <w:rFonts w:ascii="Century Gothic" w:hAnsi="Century Gothic"/>
          <w:sz w:val="22"/>
          <w:szCs w:val="22"/>
        </w:rPr>
        <w:t xml:space="preserve"> desarrolla los factores legales que determinan cual juez especifico debe conocer de un proceso civil. La </w:t>
      </w:r>
      <w:r w:rsidR="0052644E" w:rsidRPr="009612C7">
        <w:rPr>
          <w:rFonts w:ascii="Century Gothic" w:hAnsi="Century Gothic"/>
          <w:sz w:val="22"/>
          <w:szCs w:val="22"/>
        </w:rPr>
        <w:t>determinación</w:t>
      </w:r>
      <w:r w:rsidRPr="009612C7">
        <w:rPr>
          <w:rFonts w:ascii="Century Gothic" w:hAnsi="Century Gothic"/>
          <w:sz w:val="22"/>
          <w:szCs w:val="22"/>
        </w:rPr>
        <w:t xml:space="preserve"> correcta de la competencia es la primera habilidad </w:t>
      </w:r>
      <w:r w:rsidR="0052644E" w:rsidRPr="009612C7">
        <w:rPr>
          <w:rFonts w:ascii="Century Gothic" w:hAnsi="Century Gothic"/>
          <w:sz w:val="22"/>
          <w:szCs w:val="22"/>
        </w:rPr>
        <w:t>técnica</w:t>
      </w:r>
      <w:r w:rsidRPr="009612C7">
        <w:rPr>
          <w:rFonts w:ascii="Century Gothic" w:hAnsi="Century Gothic"/>
          <w:sz w:val="22"/>
          <w:szCs w:val="22"/>
        </w:rPr>
        <w:t xml:space="preserve"> del abogado litigante: presentar una demanda ante el juez incorrecto puede generar la nulidad del proceso o la perdida de </w:t>
      </w:r>
      <w:r w:rsidR="0052644E" w:rsidRPr="009612C7">
        <w:rPr>
          <w:rFonts w:ascii="Century Gothic" w:hAnsi="Century Gothic"/>
          <w:sz w:val="22"/>
          <w:szCs w:val="22"/>
        </w:rPr>
        <w:t>términos</w:t>
      </w:r>
      <w:r w:rsidRPr="009612C7">
        <w:rPr>
          <w:rFonts w:ascii="Century Gothic" w:hAnsi="Century Gothic"/>
          <w:sz w:val="22"/>
          <w:szCs w:val="22"/>
        </w:rPr>
        <w:t xml:space="preserve"> de </w:t>
      </w:r>
      <w:r w:rsidR="0052644E" w:rsidRPr="009612C7">
        <w:rPr>
          <w:rFonts w:ascii="Century Gothic" w:hAnsi="Century Gothic"/>
          <w:sz w:val="22"/>
          <w:szCs w:val="22"/>
        </w:rPr>
        <w:t>prescripción</w:t>
      </w:r>
      <w:r w:rsidRPr="009612C7">
        <w:rPr>
          <w:rFonts w:ascii="Century Gothic" w:hAnsi="Century Gothic"/>
          <w:sz w:val="22"/>
          <w:szCs w:val="22"/>
        </w:rPr>
        <w:t xml:space="preserve">. Se estudian los cuatro factores del CGP (objetivo, subjetivo, territorial y funcional), los conflictos de competencia y el principio de </w:t>
      </w:r>
      <w:r w:rsidR="0052644E" w:rsidRPr="009612C7">
        <w:rPr>
          <w:rFonts w:ascii="Century Gothic" w:hAnsi="Century Gothic"/>
          <w:sz w:val="22"/>
          <w:szCs w:val="22"/>
        </w:rPr>
        <w:t>perpetua tío</w:t>
      </w:r>
      <w:r w:rsidRPr="009612C7">
        <w:rPr>
          <w:rFonts w:ascii="Century Gothic" w:hAnsi="Century Gothic"/>
          <w:sz w:val="22"/>
          <w:szCs w:val="22"/>
        </w:rPr>
        <w:t xml:space="preserve"> </w:t>
      </w:r>
      <w:r w:rsidR="0052644E" w:rsidRPr="009612C7">
        <w:rPr>
          <w:rFonts w:ascii="Century Gothic" w:hAnsi="Century Gothic"/>
          <w:sz w:val="22"/>
          <w:szCs w:val="22"/>
        </w:rPr>
        <w:t>jurisdicciones</w:t>
      </w:r>
      <w:r w:rsidRPr="009612C7">
        <w:rPr>
          <w:rFonts w:ascii="Century Gothic" w:hAnsi="Century Gothic"/>
          <w:sz w:val="22"/>
          <w:szCs w:val="22"/>
        </w:rPr>
        <w:t>.</w:t>
      </w:r>
    </w:p>
    <w:p w14:paraId="5CD930E2" w14:textId="77777777" w:rsidR="009612C7" w:rsidRPr="009612C7" w:rsidRDefault="009612C7" w:rsidP="009612C7">
      <w:pPr>
        <w:spacing w:after="0" w:line="240" w:lineRule="auto"/>
        <w:jc w:val="both"/>
        <w:rPr>
          <w:rFonts w:ascii="Century Gothic" w:hAnsi="Century Gothic"/>
          <w:sz w:val="22"/>
          <w:szCs w:val="22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35"/>
        <w:gridCol w:w="8293"/>
      </w:tblGrid>
      <w:tr w:rsidR="009612C7" w:rsidRPr="009612C7" w14:paraId="78A4622A" w14:textId="77777777" w:rsidTr="009612C7">
        <w:tc>
          <w:tcPr>
            <w:tcW w:w="0" w:type="auto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1A3A5C"/>
            <w:tcMar>
              <w:top w:w="100" w:type="dxa"/>
              <w:left w:w="120" w:type="dxa"/>
              <w:bottom w:w="100" w:type="dxa"/>
              <w:right w:w="120" w:type="dxa"/>
            </w:tcMar>
            <w:hideMark/>
          </w:tcPr>
          <w:p w14:paraId="13354803" w14:textId="35899044" w:rsidR="009612C7" w:rsidRPr="009612C7" w:rsidRDefault="0052644E" w:rsidP="009612C7">
            <w:pPr>
              <w:spacing w:after="0" w:line="240" w:lineRule="auto"/>
              <w:jc w:val="both"/>
              <w:rPr>
                <w:rFonts w:ascii="Century Gothic" w:hAnsi="Century Gothic"/>
                <w:sz w:val="22"/>
                <w:szCs w:val="22"/>
              </w:rPr>
            </w:pPr>
            <w:r w:rsidRPr="009612C7">
              <w:rPr>
                <w:rFonts w:ascii="Century Gothic" w:hAnsi="Century Gothic"/>
                <w:b/>
                <w:bCs/>
                <w:sz w:val="22"/>
                <w:szCs w:val="22"/>
              </w:rPr>
              <w:t>C</w:t>
            </w:r>
            <w:r w:rsidR="007C31B7">
              <w:rPr>
                <w:rFonts w:ascii="Century Gothic" w:hAnsi="Century Gothic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5F8FC"/>
            <w:tcMar>
              <w:top w:w="100" w:type="dxa"/>
              <w:left w:w="160" w:type="dxa"/>
              <w:bottom w:w="100" w:type="dxa"/>
              <w:right w:w="160" w:type="dxa"/>
            </w:tcMar>
            <w:hideMark/>
          </w:tcPr>
          <w:p w14:paraId="7E1862DE" w14:textId="7C9072BF" w:rsidR="009612C7" w:rsidRPr="009612C7" w:rsidRDefault="0052644E" w:rsidP="009612C7">
            <w:pPr>
              <w:spacing w:after="0" w:line="240" w:lineRule="auto"/>
              <w:jc w:val="both"/>
              <w:rPr>
                <w:rFonts w:ascii="Century Gothic" w:hAnsi="Century Gothic"/>
                <w:sz w:val="22"/>
                <w:szCs w:val="22"/>
              </w:rPr>
            </w:pPr>
            <w:r w:rsidRPr="009612C7">
              <w:rPr>
                <w:rFonts w:ascii="Century Gothic" w:hAnsi="Century Gothic"/>
                <w:b/>
                <w:bCs/>
                <w:sz w:val="22"/>
                <w:szCs w:val="22"/>
              </w:rPr>
              <w:t>Jurisdicción</w:t>
            </w:r>
            <w:r w:rsidR="009612C7" w:rsidRPr="009612C7">
              <w:rPr>
                <w:rFonts w:ascii="Century Gothic" w:hAnsi="Century Gothic"/>
                <w:b/>
                <w:bCs/>
                <w:sz w:val="22"/>
                <w:szCs w:val="22"/>
              </w:rPr>
              <w:t xml:space="preserve"> vs. Competencia: La </w:t>
            </w:r>
            <w:r w:rsidRPr="009612C7">
              <w:rPr>
                <w:rFonts w:ascii="Century Gothic" w:hAnsi="Century Gothic"/>
                <w:b/>
                <w:bCs/>
                <w:sz w:val="22"/>
                <w:szCs w:val="22"/>
              </w:rPr>
              <w:t>Máxima</w:t>
            </w:r>
            <w:r w:rsidR="009612C7" w:rsidRPr="009612C7">
              <w:rPr>
                <w:rFonts w:ascii="Century Gothic" w:hAnsi="Century Gothic"/>
                <w:b/>
                <w:bCs/>
                <w:sz w:val="22"/>
                <w:szCs w:val="22"/>
              </w:rPr>
              <w:t xml:space="preserve"> </w:t>
            </w:r>
            <w:r w:rsidRPr="009612C7">
              <w:rPr>
                <w:rFonts w:ascii="Century Gothic" w:hAnsi="Century Gothic"/>
                <w:b/>
                <w:bCs/>
                <w:sz w:val="22"/>
                <w:szCs w:val="22"/>
              </w:rPr>
              <w:t>Clásica</w:t>
            </w:r>
          </w:p>
          <w:p w14:paraId="0895DF4E" w14:textId="36AF582B" w:rsidR="009612C7" w:rsidRPr="009612C7" w:rsidRDefault="009612C7" w:rsidP="009612C7">
            <w:pPr>
              <w:spacing w:after="0" w:line="240" w:lineRule="auto"/>
              <w:jc w:val="both"/>
              <w:rPr>
                <w:rFonts w:ascii="Century Gothic" w:hAnsi="Century Gothic"/>
                <w:sz w:val="22"/>
                <w:szCs w:val="22"/>
              </w:rPr>
            </w:pPr>
            <w:r w:rsidRPr="009612C7">
              <w:rPr>
                <w:rFonts w:ascii="Century Gothic" w:hAnsi="Century Gothic"/>
                <w:sz w:val="22"/>
                <w:szCs w:val="22"/>
              </w:rPr>
              <w:t xml:space="preserve">La frase: 'Todos los jueces tienen </w:t>
            </w:r>
            <w:r w:rsidR="0052644E" w:rsidRPr="009612C7">
              <w:rPr>
                <w:rFonts w:ascii="Century Gothic" w:hAnsi="Century Gothic"/>
                <w:sz w:val="22"/>
                <w:szCs w:val="22"/>
              </w:rPr>
              <w:t>jurisdicción</w:t>
            </w:r>
            <w:r w:rsidRPr="009612C7">
              <w:rPr>
                <w:rFonts w:ascii="Century Gothic" w:hAnsi="Century Gothic"/>
                <w:sz w:val="22"/>
                <w:szCs w:val="22"/>
              </w:rPr>
              <w:t xml:space="preserve">, pero no todos tienen competencia.' Concepto y naturaleza de la competencia como medida de la </w:t>
            </w:r>
            <w:r w:rsidR="0052644E" w:rsidRPr="009612C7">
              <w:rPr>
                <w:rFonts w:ascii="Century Gothic" w:hAnsi="Century Gothic"/>
                <w:sz w:val="22"/>
                <w:szCs w:val="22"/>
              </w:rPr>
              <w:t>jurisdicción</w:t>
            </w:r>
            <w:r w:rsidRPr="009612C7">
              <w:rPr>
                <w:rFonts w:ascii="Century Gothic" w:hAnsi="Century Gothic"/>
                <w:sz w:val="22"/>
                <w:szCs w:val="22"/>
              </w:rPr>
              <w:t xml:space="preserve">. Diferencias en fuente, alcance, titulares y efectos. Consecuencias de la falta de competencia: nulidad </w:t>
            </w:r>
            <w:r w:rsidR="0052644E" w:rsidRPr="009612C7">
              <w:rPr>
                <w:rFonts w:ascii="Century Gothic" w:hAnsi="Century Gothic"/>
                <w:sz w:val="22"/>
                <w:szCs w:val="22"/>
              </w:rPr>
              <w:t>insanable</w:t>
            </w:r>
            <w:r w:rsidRPr="009612C7">
              <w:rPr>
                <w:rFonts w:ascii="Century Gothic" w:hAnsi="Century Gothic"/>
                <w:sz w:val="22"/>
                <w:szCs w:val="22"/>
              </w:rPr>
              <w:t xml:space="preserve"> (Art. 133 </w:t>
            </w:r>
            <w:r w:rsidR="0052644E" w:rsidRPr="009612C7">
              <w:rPr>
                <w:rFonts w:ascii="Century Gothic" w:hAnsi="Century Gothic"/>
                <w:sz w:val="22"/>
                <w:szCs w:val="22"/>
              </w:rPr>
              <w:t>núm.</w:t>
            </w:r>
            <w:r w:rsidRPr="009612C7">
              <w:rPr>
                <w:rFonts w:ascii="Century Gothic" w:hAnsi="Century Gothic"/>
                <w:sz w:val="22"/>
                <w:szCs w:val="22"/>
              </w:rPr>
              <w:t xml:space="preserve"> 1 CGP). Los cuatro factores del CGP: objetivo, subjetivo, territorial y funcional.</w:t>
            </w:r>
          </w:p>
        </w:tc>
      </w:tr>
    </w:tbl>
    <w:p w14:paraId="5556D340" w14:textId="77777777" w:rsidR="009612C7" w:rsidRPr="009612C7" w:rsidRDefault="009612C7" w:rsidP="009612C7">
      <w:pPr>
        <w:spacing w:after="0" w:line="240" w:lineRule="auto"/>
        <w:jc w:val="both"/>
        <w:rPr>
          <w:rFonts w:ascii="Century Gothic" w:hAnsi="Century Gothic"/>
          <w:sz w:val="22"/>
          <w:szCs w:val="22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35"/>
        <w:gridCol w:w="8293"/>
      </w:tblGrid>
      <w:tr w:rsidR="009612C7" w:rsidRPr="009612C7" w14:paraId="71B16F1B" w14:textId="77777777" w:rsidTr="009612C7">
        <w:tc>
          <w:tcPr>
            <w:tcW w:w="0" w:type="auto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1A3A5C"/>
            <w:tcMar>
              <w:top w:w="100" w:type="dxa"/>
              <w:left w:w="120" w:type="dxa"/>
              <w:bottom w:w="100" w:type="dxa"/>
              <w:right w:w="120" w:type="dxa"/>
            </w:tcMar>
            <w:hideMark/>
          </w:tcPr>
          <w:p w14:paraId="7EF330F6" w14:textId="77777777" w:rsidR="009612C7" w:rsidRPr="009612C7" w:rsidRDefault="009612C7" w:rsidP="009612C7">
            <w:pPr>
              <w:spacing w:after="0" w:line="240" w:lineRule="auto"/>
              <w:jc w:val="both"/>
              <w:rPr>
                <w:rFonts w:ascii="Century Gothic" w:hAnsi="Century Gothic"/>
                <w:sz w:val="22"/>
                <w:szCs w:val="22"/>
              </w:rPr>
            </w:pPr>
            <w:r w:rsidRPr="009612C7">
              <w:rPr>
                <w:rFonts w:ascii="Century Gothic" w:hAnsi="Century Gothic"/>
                <w:b/>
                <w:bCs/>
                <w:sz w:val="22"/>
                <w:szCs w:val="22"/>
              </w:rPr>
              <w:t>C2</w:t>
            </w:r>
          </w:p>
        </w:tc>
        <w:tc>
          <w:tcPr>
            <w:tcW w:w="0" w:type="auto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5F8FC"/>
            <w:tcMar>
              <w:top w:w="100" w:type="dxa"/>
              <w:left w:w="160" w:type="dxa"/>
              <w:bottom w:w="100" w:type="dxa"/>
              <w:right w:w="160" w:type="dxa"/>
            </w:tcMar>
            <w:hideMark/>
          </w:tcPr>
          <w:p w14:paraId="52AA5117" w14:textId="77777777" w:rsidR="009612C7" w:rsidRPr="009612C7" w:rsidRDefault="009612C7" w:rsidP="009612C7">
            <w:pPr>
              <w:spacing w:after="0" w:line="240" w:lineRule="auto"/>
              <w:jc w:val="both"/>
              <w:rPr>
                <w:rFonts w:ascii="Century Gothic" w:hAnsi="Century Gothic"/>
                <w:sz w:val="22"/>
                <w:szCs w:val="22"/>
              </w:rPr>
            </w:pPr>
            <w:r w:rsidRPr="009612C7">
              <w:rPr>
                <w:rFonts w:ascii="Century Gothic" w:hAnsi="Century Gothic"/>
                <w:b/>
                <w:bCs/>
                <w:sz w:val="22"/>
                <w:szCs w:val="22"/>
              </w:rPr>
              <w:t>Factor Objetivo: Cuantia y Naturaleza del Asunto</w:t>
            </w:r>
          </w:p>
          <w:p w14:paraId="6AF5C5C8" w14:textId="7F09C432" w:rsidR="009612C7" w:rsidRPr="009612C7" w:rsidRDefault="0052644E" w:rsidP="009612C7">
            <w:pPr>
              <w:spacing w:after="0" w:line="240" w:lineRule="auto"/>
              <w:jc w:val="both"/>
              <w:rPr>
                <w:rFonts w:ascii="Century Gothic" w:hAnsi="Century Gothic"/>
                <w:sz w:val="22"/>
                <w:szCs w:val="22"/>
              </w:rPr>
            </w:pPr>
            <w:r w:rsidRPr="009612C7">
              <w:rPr>
                <w:rFonts w:ascii="Century Gothic" w:hAnsi="Century Gothic"/>
                <w:sz w:val="22"/>
                <w:szCs w:val="22"/>
              </w:rPr>
              <w:t>Determinación</w:t>
            </w:r>
            <w:r w:rsidR="009612C7" w:rsidRPr="009612C7">
              <w:rPr>
                <w:rFonts w:ascii="Century Gothic" w:hAnsi="Century Gothic"/>
                <w:sz w:val="22"/>
                <w:szCs w:val="22"/>
              </w:rPr>
              <w:t xml:space="preserve"> de la cuantia al momento de presentar la demanda (Art. 26 CGP). Las tres </w:t>
            </w:r>
            <w:r w:rsidRPr="009612C7">
              <w:rPr>
                <w:rFonts w:ascii="Century Gothic" w:hAnsi="Century Gothic"/>
                <w:sz w:val="22"/>
                <w:szCs w:val="22"/>
              </w:rPr>
              <w:t>categorías</w:t>
            </w:r>
            <w:r w:rsidR="009612C7" w:rsidRPr="009612C7">
              <w:rPr>
                <w:rFonts w:ascii="Century Gothic" w:hAnsi="Century Gothic"/>
                <w:sz w:val="22"/>
                <w:szCs w:val="22"/>
              </w:rPr>
              <w:t>: minima cuantia (hasta 40 SMLMV), menor cuantia (40-150 SMLMV) y mayor cuantia (</w:t>
            </w:r>
            <w:r w:rsidRPr="009612C7">
              <w:rPr>
                <w:rFonts w:ascii="Century Gothic" w:hAnsi="Century Gothic"/>
                <w:sz w:val="22"/>
                <w:szCs w:val="22"/>
              </w:rPr>
              <w:t>más</w:t>
            </w:r>
            <w:r w:rsidR="009612C7" w:rsidRPr="009612C7">
              <w:rPr>
                <w:rFonts w:ascii="Century Gothic" w:hAnsi="Century Gothic"/>
                <w:sz w:val="22"/>
                <w:szCs w:val="22"/>
              </w:rPr>
              <w:t xml:space="preserve"> de 150 SMLMV) con valores actualizados 2025. Reglas de </w:t>
            </w:r>
            <w:r w:rsidRPr="009612C7">
              <w:rPr>
                <w:rFonts w:ascii="Century Gothic" w:hAnsi="Century Gothic"/>
                <w:sz w:val="22"/>
                <w:szCs w:val="22"/>
              </w:rPr>
              <w:t>cálculo</w:t>
            </w:r>
            <w:r w:rsidR="009612C7" w:rsidRPr="009612C7">
              <w:rPr>
                <w:rFonts w:ascii="Century Gothic" w:hAnsi="Century Gothic"/>
                <w:sz w:val="22"/>
                <w:szCs w:val="22"/>
              </w:rPr>
              <w:t xml:space="preserve">: pretensiones acumuladas, frutos anteriores/posteriores, perjuicios sin </w:t>
            </w:r>
            <w:r w:rsidRPr="009612C7">
              <w:rPr>
                <w:rFonts w:ascii="Century Gothic" w:hAnsi="Century Gothic"/>
                <w:sz w:val="22"/>
                <w:szCs w:val="22"/>
              </w:rPr>
              <w:t>estimación</w:t>
            </w:r>
            <w:r w:rsidR="009612C7" w:rsidRPr="009612C7">
              <w:rPr>
                <w:rFonts w:ascii="Century Gothic" w:hAnsi="Century Gothic"/>
                <w:sz w:val="22"/>
                <w:szCs w:val="22"/>
              </w:rPr>
              <w:t xml:space="preserve">. Competencia por naturaleza del asunto: insolvencia, </w:t>
            </w:r>
            <w:r w:rsidRPr="009612C7">
              <w:rPr>
                <w:rFonts w:ascii="Century Gothic" w:hAnsi="Century Gothic"/>
                <w:sz w:val="22"/>
                <w:szCs w:val="22"/>
              </w:rPr>
              <w:t>expropiación</w:t>
            </w:r>
            <w:r w:rsidR="009612C7" w:rsidRPr="009612C7">
              <w:rPr>
                <w:rFonts w:ascii="Century Gothic" w:hAnsi="Century Gothic"/>
                <w:sz w:val="22"/>
                <w:szCs w:val="22"/>
              </w:rPr>
              <w:t xml:space="preserve">, divisorios. </w:t>
            </w:r>
          </w:p>
        </w:tc>
      </w:tr>
    </w:tbl>
    <w:p w14:paraId="3F005CEA" w14:textId="77777777" w:rsidR="009612C7" w:rsidRPr="009612C7" w:rsidRDefault="009612C7" w:rsidP="009612C7">
      <w:pPr>
        <w:spacing w:after="0" w:line="240" w:lineRule="auto"/>
        <w:jc w:val="both"/>
        <w:rPr>
          <w:rFonts w:ascii="Century Gothic" w:hAnsi="Century Gothic"/>
          <w:sz w:val="22"/>
          <w:szCs w:val="22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35"/>
        <w:gridCol w:w="8293"/>
      </w:tblGrid>
      <w:tr w:rsidR="009612C7" w:rsidRPr="009612C7" w14:paraId="2970D718" w14:textId="77777777" w:rsidTr="009612C7">
        <w:tc>
          <w:tcPr>
            <w:tcW w:w="0" w:type="auto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1A3A5C"/>
            <w:tcMar>
              <w:top w:w="100" w:type="dxa"/>
              <w:left w:w="120" w:type="dxa"/>
              <w:bottom w:w="100" w:type="dxa"/>
              <w:right w:w="120" w:type="dxa"/>
            </w:tcMar>
            <w:hideMark/>
          </w:tcPr>
          <w:p w14:paraId="0BF94B76" w14:textId="77777777" w:rsidR="009612C7" w:rsidRPr="009612C7" w:rsidRDefault="009612C7" w:rsidP="009612C7">
            <w:pPr>
              <w:spacing w:after="0" w:line="240" w:lineRule="auto"/>
              <w:jc w:val="both"/>
              <w:rPr>
                <w:rFonts w:ascii="Century Gothic" w:hAnsi="Century Gothic"/>
                <w:sz w:val="22"/>
                <w:szCs w:val="22"/>
              </w:rPr>
            </w:pPr>
            <w:r w:rsidRPr="009612C7">
              <w:rPr>
                <w:rFonts w:ascii="Century Gothic" w:hAnsi="Century Gothic"/>
                <w:b/>
                <w:bCs/>
                <w:sz w:val="22"/>
                <w:szCs w:val="22"/>
              </w:rPr>
              <w:t>C3</w:t>
            </w:r>
          </w:p>
        </w:tc>
        <w:tc>
          <w:tcPr>
            <w:tcW w:w="0" w:type="auto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5F8FC"/>
            <w:tcMar>
              <w:top w:w="100" w:type="dxa"/>
              <w:left w:w="160" w:type="dxa"/>
              <w:bottom w:w="100" w:type="dxa"/>
              <w:right w:w="160" w:type="dxa"/>
            </w:tcMar>
            <w:hideMark/>
          </w:tcPr>
          <w:p w14:paraId="75D0A829" w14:textId="77777777" w:rsidR="009612C7" w:rsidRPr="009612C7" w:rsidRDefault="009612C7" w:rsidP="009612C7">
            <w:pPr>
              <w:spacing w:after="0" w:line="240" w:lineRule="auto"/>
              <w:jc w:val="both"/>
              <w:rPr>
                <w:rFonts w:ascii="Century Gothic" w:hAnsi="Century Gothic"/>
                <w:sz w:val="22"/>
                <w:szCs w:val="22"/>
              </w:rPr>
            </w:pPr>
            <w:r w:rsidRPr="009612C7">
              <w:rPr>
                <w:rFonts w:ascii="Century Gothic" w:hAnsi="Century Gothic"/>
                <w:b/>
                <w:bCs/>
                <w:sz w:val="22"/>
                <w:szCs w:val="22"/>
              </w:rPr>
              <w:t>Factor Subjetivo: La Calidad de las Partes</w:t>
            </w:r>
          </w:p>
          <w:p w14:paraId="60D012DF" w14:textId="7CD00897" w:rsidR="009612C7" w:rsidRPr="009612C7" w:rsidRDefault="009612C7" w:rsidP="009612C7">
            <w:pPr>
              <w:spacing w:after="0" w:line="240" w:lineRule="auto"/>
              <w:jc w:val="both"/>
              <w:rPr>
                <w:rFonts w:ascii="Century Gothic" w:hAnsi="Century Gothic"/>
                <w:sz w:val="22"/>
                <w:szCs w:val="22"/>
              </w:rPr>
            </w:pPr>
            <w:r w:rsidRPr="009612C7">
              <w:rPr>
                <w:rFonts w:ascii="Century Gothic" w:hAnsi="Century Gothic"/>
                <w:sz w:val="22"/>
                <w:szCs w:val="22"/>
              </w:rPr>
              <w:t xml:space="preserve">Supuestos de competencia por calidad especial de las partes. Magistrados de Altas Cortes y altos funcionarios (Art. 235 C.P. / Art. 28 CGP). Inmunidad </w:t>
            </w:r>
            <w:r w:rsidR="0052644E" w:rsidRPr="009612C7">
              <w:rPr>
                <w:rFonts w:ascii="Century Gothic" w:hAnsi="Century Gothic"/>
                <w:sz w:val="22"/>
                <w:szCs w:val="22"/>
              </w:rPr>
              <w:t>diplomática</w:t>
            </w:r>
            <w:r w:rsidRPr="009612C7">
              <w:rPr>
                <w:rFonts w:ascii="Century Gothic" w:hAnsi="Century Gothic"/>
                <w:sz w:val="22"/>
                <w:szCs w:val="22"/>
              </w:rPr>
              <w:t xml:space="preserve">: </w:t>
            </w:r>
            <w:r w:rsidR="0052644E" w:rsidRPr="009612C7">
              <w:rPr>
                <w:rFonts w:ascii="Century Gothic" w:hAnsi="Century Gothic"/>
                <w:sz w:val="22"/>
                <w:szCs w:val="22"/>
              </w:rPr>
              <w:t>Convención</w:t>
            </w:r>
            <w:r w:rsidRPr="009612C7">
              <w:rPr>
                <w:rFonts w:ascii="Century Gothic" w:hAnsi="Century Gothic"/>
                <w:sz w:val="22"/>
                <w:szCs w:val="22"/>
              </w:rPr>
              <w:t xml:space="preserve"> de Viena (Ley 6/72) y sus excepciones (Art. 31). Estados extranjeros: inmunidad soberana. El fuero de </w:t>
            </w:r>
            <w:r w:rsidR="0052644E" w:rsidRPr="009612C7">
              <w:rPr>
                <w:rFonts w:ascii="Century Gothic" w:hAnsi="Century Gothic"/>
                <w:sz w:val="22"/>
                <w:szCs w:val="22"/>
              </w:rPr>
              <w:t>atracción</w:t>
            </w:r>
            <w:r w:rsidRPr="009612C7">
              <w:rPr>
                <w:rFonts w:ascii="Century Gothic" w:hAnsi="Century Gothic"/>
                <w:sz w:val="22"/>
                <w:szCs w:val="22"/>
              </w:rPr>
              <w:t xml:space="preserve"> en procesos universales (Art. 23 CGP). </w:t>
            </w:r>
          </w:p>
        </w:tc>
      </w:tr>
    </w:tbl>
    <w:p w14:paraId="68F884A4" w14:textId="77777777" w:rsidR="009612C7" w:rsidRPr="009612C7" w:rsidRDefault="009612C7" w:rsidP="009612C7">
      <w:pPr>
        <w:spacing w:after="0" w:line="240" w:lineRule="auto"/>
        <w:jc w:val="both"/>
        <w:rPr>
          <w:rFonts w:ascii="Century Gothic" w:hAnsi="Century Gothic"/>
          <w:sz w:val="22"/>
          <w:szCs w:val="22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35"/>
        <w:gridCol w:w="8293"/>
      </w:tblGrid>
      <w:tr w:rsidR="009612C7" w:rsidRPr="009612C7" w14:paraId="20D04C89" w14:textId="77777777" w:rsidTr="009612C7">
        <w:tc>
          <w:tcPr>
            <w:tcW w:w="0" w:type="auto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1A3A5C"/>
            <w:tcMar>
              <w:top w:w="100" w:type="dxa"/>
              <w:left w:w="120" w:type="dxa"/>
              <w:bottom w:w="100" w:type="dxa"/>
              <w:right w:w="120" w:type="dxa"/>
            </w:tcMar>
            <w:hideMark/>
          </w:tcPr>
          <w:p w14:paraId="21056803" w14:textId="77777777" w:rsidR="009612C7" w:rsidRPr="009612C7" w:rsidRDefault="009612C7" w:rsidP="009612C7">
            <w:pPr>
              <w:spacing w:after="0" w:line="240" w:lineRule="auto"/>
              <w:jc w:val="both"/>
              <w:rPr>
                <w:rFonts w:ascii="Century Gothic" w:hAnsi="Century Gothic"/>
                <w:sz w:val="22"/>
                <w:szCs w:val="22"/>
              </w:rPr>
            </w:pPr>
            <w:r w:rsidRPr="009612C7">
              <w:rPr>
                <w:rFonts w:ascii="Century Gothic" w:hAnsi="Century Gothic"/>
                <w:b/>
                <w:bCs/>
                <w:sz w:val="22"/>
                <w:szCs w:val="22"/>
              </w:rPr>
              <w:t>C4</w:t>
            </w:r>
          </w:p>
        </w:tc>
        <w:tc>
          <w:tcPr>
            <w:tcW w:w="0" w:type="auto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5F8FC"/>
            <w:tcMar>
              <w:top w:w="100" w:type="dxa"/>
              <w:left w:w="160" w:type="dxa"/>
              <w:bottom w:w="100" w:type="dxa"/>
              <w:right w:w="160" w:type="dxa"/>
            </w:tcMar>
            <w:hideMark/>
          </w:tcPr>
          <w:p w14:paraId="67740C29" w14:textId="77777777" w:rsidR="009612C7" w:rsidRPr="009612C7" w:rsidRDefault="009612C7" w:rsidP="009612C7">
            <w:pPr>
              <w:spacing w:after="0" w:line="240" w:lineRule="auto"/>
              <w:jc w:val="both"/>
              <w:rPr>
                <w:rFonts w:ascii="Century Gothic" w:hAnsi="Century Gothic"/>
                <w:sz w:val="22"/>
                <w:szCs w:val="22"/>
              </w:rPr>
            </w:pPr>
            <w:r w:rsidRPr="009612C7">
              <w:rPr>
                <w:rFonts w:ascii="Century Gothic" w:hAnsi="Century Gothic"/>
                <w:b/>
                <w:bCs/>
                <w:sz w:val="22"/>
                <w:szCs w:val="22"/>
              </w:rPr>
              <w:t>Factor Territorial: El Fuero</w:t>
            </w:r>
          </w:p>
          <w:p w14:paraId="6A036F43" w14:textId="25A44648" w:rsidR="009612C7" w:rsidRPr="009612C7" w:rsidRDefault="009612C7" w:rsidP="009612C7">
            <w:pPr>
              <w:spacing w:after="0" w:line="240" w:lineRule="auto"/>
              <w:jc w:val="both"/>
              <w:rPr>
                <w:rFonts w:ascii="Century Gothic" w:hAnsi="Century Gothic"/>
                <w:sz w:val="22"/>
                <w:szCs w:val="22"/>
              </w:rPr>
            </w:pPr>
            <w:r w:rsidRPr="009612C7">
              <w:rPr>
                <w:rFonts w:ascii="Century Gothic" w:hAnsi="Century Gothic"/>
                <w:sz w:val="22"/>
                <w:szCs w:val="22"/>
              </w:rPr>
              <w:t xml:space="preserve">Concepto y tipos de fuero. Fuero personal: domicilio del demandado como regla general (Art. 28 </w:t>
            </w:r>
            <w:r w:rsidR="0052644E" w:rsidRPr="009612C7">
              <w:rPr>
                <w:rFonts w:ascii="Century Gothic" w:hAnsi="Century Gothic"/>
                <w:sz w:val="22"/>
                <w:szCs w:val="22"/>
              </w:rPr>
              <w:t>núm.</w:t>
            </w:r>
            <w:r w:rsidRPr="009612C7">
              <w:rPr>
                <w:rFonts w:ascii="Century Gothic" w:hAnsi="Century Gothic"/>
                <w:sz w:val="22"/>
                <w:szCs w:val="22"/>
              </w:rPr>
              <w:t xml:space="preserve"> 1 CGP). Domicilio vs. residencia. Fuero real: lugar del inmueble (Art. 28 </w:t>
            </w:r>
            <w:r w:rsidR="0052644E" w:rsidRPr="009612C7">
              <w:rPr>
                <w:rFonts w:ascii="Century Gothic" w:hAnsi="Century Gothic"/>
                <w:sz w:val="22"/>
                <w:szCs w:val="22"/>
              </w:rPr>
              <w:t>núm.</w:t>
            </w:r>
            <w:r w:rsidRPr="009612C7">
              <w:rPr>
                <w:rFonts w:ascii="Century Gothic" w:hAnsi="Century Gothic"/>
                <w:sz w:val="22"/>
                <w:szCs w:val="22"/>
              </w:rPr>
              <w:t xml:space="preserve"> 5). Fuero contractual: domicilio del demandado O lugar de cumplimiento, a </w:t>
            </w:r>
            <w:r w:rsidR="0052644E" w:rsidRPr="009612C7">
              <w:rPr>
                <w:rFonts w:ascii="Century Gothic" w:hAnsi="Century Gothic"/>
                <w:sz w:val="22"/>
                <w:szCs w:val="22"/>
              </w:rPr>
              <w:t>elección</w:t>
            </w:r>
            <w:r w:rsidRPr="009612C7">
              <w:rPr>
                <w:rFonts w:ascii="Century Gothic" w:hAnsi="Century Gothic"/>
                <w:sz w:val="22"/>
                <w:szCs w:val="22"/>
              </w:rPr>
              <w:t xml:space="preserve"> del demandante. Tabla de fueros especiales: </w:t>
            </w:r>
            <w:r w:rsidR="0052644E" w:rsidRPr="009612C7">
              <w:rPr>
                <w:rFonts w:ascii="Century Gothic" w:hAnsi="Century Gothic"/>
                <w:sz w:val="22"/>
                <w:szCs w:val="22"/>
              </w:rPr>
              <w:t>sucesor al</w:t>
            </w:r>
            <w:r w:rsidRPr="009612C7">
              <w:rPr>
                <w:rFonts w:ascii="Century Gothic" w:hAnsi="Century Gothic"/>
                <w:sz w:val="22"/>
                <w:szCs w:val="22"/>
              </w:rPr>
              <w:t xml:space="preserve">, societario, responsabilidad extracontractual. </w:t>
            </w:r>
            <w:r w:rsidR="0052644E" w:rsidRPr="009612C7">
              <w:rPr>
                <w:rFonts w:ascii="Century Gothic" w:hAnsi="Century Gothic"/>
                <w:sz w:val="22"/>
                <w:szCs w:val="22"/>
              </w:rPr>
              <w:t>Prorrogación</w:t>
            </w:r>
            <w:r w:rsidRPr="009612C7">
              <w:rPr>
                <w:rFonts w:ascii="Century Gothic" w:hAnsi="Century Gothic"/>
                <w:sz w:val="22"/>
                <w:szCs w:val="22"/>
              </w:rPr>
              <w:t xml:space="preserve"> tacita y convencional. </w:t>
            </w:r>
          </w:p>
        </w:tc>
      </w:tr>
    </w:tbl>
    <w:p w14:paraId="7214EC86" w14:textId="77777777" w:rsidR="009612C7" w:rsidRPr="009612C7" w:rsidRDefault="009612C7" w:rsidP="009612C7">
      <w:pPr>
        <w:spacing w:after="0" w:line="240" w:lineRule="auto"/>
        <w:jc w:val="both"/>
        <w:rPr>
          <w:rFonts w:ascii="Century Gothic" w:hAnsi="Century Gothic"/>
          <w:sz w:val="22"/>
          <w:szCs w:val="22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35"/>
        <w:gridCol w:w="8293"/>
      </w:tblGrid>
      <w:tr w:rsidR="009612C7" w:rsidRPr="009612C7" w14:paraId="4C4E22DB" w14:textId="77777777" w:rsidTr="009612C7">
        <w:tc>
          <w:tcPr>
            <w:tcW w:w="0" w:type="auto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1A3A5C"/>
            <w:tcMar>
              <w:top w:w="100" w:type="dxa"/>
              <w:left w:w="120" w:type="dxa"/>
              <w:bottom w:w="100" w:type="dxa"/>
              <w:right w:w="120" w:type="dxa"/>
            </w:tcMar>
            <w:hideMark/>
          </w:tcPr>
          <w:p w14:paraId="27C2B8D5" w14:textId="77777777" w:rsidR="009612C7" w:rsidRPr="009612C7" w:rsidRDefault="009612C7" w:rsidP="009612C7">
            <w:pPr>
              <w:spacing w:after="0" w:line="240" w:lineRule="auto"/>
              <w:jc w:val="both"/>
              <w:rPr>
                <w:rFonts w:ascii="Century Gothic" w:hAnsi="Century Gothic"/>
                <w:sz w:val="22"/>
                <w:szCs w:val="22"/>
              </w:rPr>
            </w:pPr>
            <w:r w:rsidRPr="009612C7">
              <w:rPr>
                <w:rFonts w:ascii="Century Gothic" w:hAnsi="Century Gothic"/>
                <w:b/>
                <w:bCs/>
                <w:sz w:val="22"/>
                <w:szCs w:val="22"/>
              </w:rPr>
              <w:t>C5</w:t>
            </w:r>
          </w:p>
        </w:tc>
        <w:tc>
          <w:tcPr>
            <w:tcW w:w="0" w:type="auto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5F8FC"/>
            <w:tcMar>
              <w:top w:w="100" w:type="dxa"/>
              <w:left w:w="160" w:type="dxa"/>
              <w:bottom w:w="100" w:type="dxa"/>
              <w:right w:w="160" w:type="dxa"/>
            </w:tcMar>
            <w:hideMark/>
          </w:tcPr>
          <w:p w14:paraId="7439896F" w14:textId="77777777" w:rsidR="009612C7" w:rsidRPr="009612C7" w:rsidRDefault="009612C7" w:rsidP="009612C7">
            <w:pPr>
              <w:spacing w:after="0" w:line="240" w:lineRule="auto"/>
              <w:jc w:val="both"/>
              <w:rPr>
                <w:rFonts w:ascii="Century Gothic" w:hAnsi="Century Gothic"/>
                <w:sz w:val="22"/>
                <w:szCs w:val="22"/>
              </w:rPr>
            </w:pPr>
            <w:r w:rsidRPr="009612C7">
              <w:rPr>
                <w:rFonts w:ascii="Century Gothic" w:hAnsi="Century Gothic"/>
                <w:b/>
                <w:bCs/>
                <w:sz w:val="22"/>
                <w:szCs w:val="22"/>
              </w:rPr>
              <w:t>Factor Funcional y Conexidad</w:t>
            </w:r>
          </w:p>
          <w:p w14:paraId="5E5A6128" w14:textId="2F16FAF9" w:rsidR="009612C7" w:rsidRPr="009612C7" w:rsidRDefault="009612C7" w:rsidP="009612C7">
            <w:pPr>
              <w:spacing w:after="0" w:line="240" w:lineRule="auto"/>
              <w:jc w:val="both"/>
              <w:rPr>
                <w:rFonts w:ascii="Century Gothic" w:hAnsi="Century Gothic"/>
                <w:sz w:val="22"/>
                <w:szCs w:val="22"/>
              </w:rPr>
            </w:pPr>
            <w:r w:rsidRPr="009612C7">
              <w:rPr>
                <w:rFonts w:ascii="Century Gothic" w:hAnsi="Century Gothic"/>
                <w:sz w:val="22"/>
                <w:szCs w:val="22"/>
              </w:rPr>
              <w:lastRenderedPageBreak/>
              <w:t xml:space="preserve">El factor funcional: </w:t>
            </w:r>
            <w:r w:rsidR="007C31B7" w:rsidRPr="009612C7">
              <w:rPr>
                <w:rFonts w:ascii="Century Gothic" w:hAnsi="Century Gothic"/>
                <w:sz w:val="22"/>
                <w:szCs w:val="22"/>
              </w:rPr>
              <w:t>distribución</w:t>
            </w:r>
            <w:r w:rsidRPr="009612C7">
              <w:rPr>
                <w:rFonts w:ascii="Century Gothic" w:hAnsi="Century Gothic"/>
                <w:sz w:val="22"/>
                <w:szCs w:val="22"/>
              </w:rPr>
              <w:t xml:space="preserve"> por grado jurisdiccional. Tabla: primera instancia, segunda instancia (</w:t>
            </w:r>
            <w:r w:rsidR="007C31B7" w:rsidRPr="009612C7">
              <w:rPr>
                <w:rFonts w:ascii="Century Gothic" w:hAnsi="Century Gothic"/>
                <w:sz w:val="22"/>
                <w:szCs w:val="22"/>
              </w:rPr>
              <w:t>apelación</w:t>
            </w:r>
            <w:r w:rsidRPr="009612C7">
              <w:rPr>
                <w:rFonts w:ascii="Century Gothic" w:hAnsi="Century Gothic"/>
                <w:sz w:val="22"/>
                <w:szCs w:val="22"/>
              </w:rPr>
              <w:t xml:space="preserve">) y sede de recursos extraordinarios. Procesos de </w:t>
            </w:r>
            <w:r w:rsidR="007C31B7" w:rsidRPr="009612C7">
              <w:rPr>
                <w:rFonts w:ascii="Century Gothic" w:hAnsi="Century Gothic"/>
                <w:sz w:val="22"/>
                <w:szCs w:val="22"/>
              </w:rPr>
              <w:t>única</w:t>
            </w:r>
            <w:r w:rsidRPr="009612C7">
              <w:rPr>
                <w:rFonts w:ascii="Century Gothic" w:hAnsi="Century Gothic"/>
                <w:sz w:val="22"/>
                <w:szCs w:val="22"/>
              </w:rPr>
              <w:t xml:space="preserve"> instancia y su constitucionalidad. El recurso de </w:t>
            </w:r>
            <w:r w:rsidR="007C31B7" w:rsidRPr="009612C7">
              <w:rPr>
                <w:rFonts w:ascii="Century Gothic" w:hAnsi="Century Gothic"/>
                <w:sz w:val="22"/>
                <w:szCs w:val="22"/>
              </w:rPr>
              <w:t>apelación</w:t>
            </w:r>
            <w:r w:rsidRPr="009612C7">
              <w:rPr>
                <w:rFonts w:ascii="Century Gothic" w:hAnsi="Century Gothic"/>
                <w:sz w:val="22"/>
                <w:szCs w:val="22"/>
              </w:rPr>
              <w:t xml:space="preserve"> y la segunda instancia. Conexidad y </w:t>
            </w:r>
            <w:r w:rsidR="007C31B7" w:rsidRPr="009612C7">
              <w:rPr>
                <w:rFonts w:ascii="Century Gothic" w:hAnsi="Century Gothic"/>
                <w:sz w:val="22"/>
                <w:szCs w:val="22"/>
              </w:rPr>
              <w:t>acumulación</w:t>
            </w:r>
            <w:r w:rsidRPr="009612C7">
              <w:rPr>
                <w:rFonts w:ascii="Century Gothic" w:hAnsi="Century Gothic"/>
                <w:sz w:val="22"/>
                <w:szCs w:val="22"/>
              </w:rPr>
              <w:t xml:space="preserve"> de procesos (Art. 148 CGP): objetiva, subjetiva, </w:t>
            </w:r>
            <w:r w:rsidR="007C31B7" w:rsidRPr="009612C7">
              <w:rPr>
                <w:rFonts w:ascii="Century Gothic" w:hAnsi="Century Gothic"/>
                <w:sz w:val="22"/>
                <w:szCs w:val="22"/>
              </w:rPr>
              <w:t>acumulación</w:t>
            </w:r>
            <w:r w:rsidRPr="009612C7">
              <w:rPr>
                <w:rFonts w:ascii="Century Gothic" w:hAnsi="Century Gothic"/>
                <w:sz w:val="22"/>
                <w:szCs w:val="22"/>
              </w:rPr>
              <w:t xml:space="preserve"> de pretensiones (Art. 88 CGP) y </w:t>
            </w:r>
            <w:r w:rsidR="007C31B7" w:rsidRPr="009612C7">
              <w:rPr>
                <w:rFonts w:ascii="Century Gothic" w:hAnsi="Century Gothic"/>
                <w:sz w:val="22"/>
                <w:szCs w:val="22"/>
              </w:rPr>
              <w:t>acumulación</w:t>
            </w:r>
            <w:r w:rsidRPr="009612C7">
              <w:rPr>
                <w:rFonts w:ascii="Century Gothic" w:hAnsi="Century Gothic"/>
                <w:sz w:val="22"/>
                <w:szCs w:val="22"/>
              </w:rPr>
              <w:t xml:space="preserve"> de demandas. </w:t>
            </w:r>
          </w:p>
        </w:tc>
      </w:tr>
    </w:tbl>
    <w:p w14:paraId="6C9C17E7" w14:textId="77777777" w:rsidR="009612C7" w:rsidRPr="009612C7" w:rsidRDefault="009612C7" w:rsidP="009612C7">
      <w:pPr>
        <w:spacing w:after="0" w:line="240" w:lineRule="auto"/>
        <w:jc w:val="both"/>
        <w:rPr>
          <w:rFonts w:ascii="Century Gothic" w:hAnsi="Century Gothic"/>
          <w:sz w:val="22"/>
          <w:szCs w:val="22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35"/>
        <w:gridCol w:w="8293"/>
      </w:tblGrid>
      <w:tr w:rsidR="009612C7" w:rsidRPr="009612C7" w14:paraId="5516F701" w14:textId="77777777" w:rsidTr="009612C7">
        <w:tc>
          <w:tcPr>
            <w:tcW w:w="0" w:type="auto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1A3A5C"/>
            <w:tcMar>
              <w:top w:w="100" w:type="dxa"/>
              <w:left w:w="120" w:type="dxa"/>
              <w:bottom w:w="100" w:type="dxa"/>
              <w:right w:w="120" w:type="dxa"/>
            </w:tcMar>
            <w:hideMark/>
          </w:tcPr>
          <w:p w14:paraId="3B4DEBC9" w14:textId="77777777" w:rsidR="009612C7" w:rsidRPr="009612C7" w:rsidRDefault="009612C7" w:rsidP="009612C7">
            <w:pPr>
              <w:spacing w:after="0" w:line="240" w:lineRule="auto"/>
              <w:jc w:val="both"/>
              <w:rPr>
                <w:rFonts w:ascii="Century Gothic" w:hAnsi="Century Gothic"/>
                <w:sz w:val="22"/>
                <w:szCs w:val="22"/>
              </w:rPr>
            </w:pPr>
            <w:r w:rsidRPr="009612C7">
              <w:rPr>
                <w:rFonts w:ascii="Century Gothic" w:hAnsi="Century Gothic"/>
                <w:b/>
                <w:bCs/>
                <w:sz w:val="22"/>
                <w:szCs w:val="22"/>
              </w:rPr>
              <w:t>C6</w:t>
            </w:r>
          </w:p>
        </w:tc>
        <w:tc>
          <w:tcPr>
            <w:tcW w:w="0" w:type="auto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5F8FC"/>
            <w:tcMar>
              <w:top w:w="100" w:type="dxa"/>
              <w:left w:w="160" w:type="dxa"/>
              <w:bottom w:w="100" w:type="dxa"/>
              <w:right w:w="160" w:type="dxa"/>
            </w:tcMar>
            <w:hideMark/>
          </w:tcPr>
          <w:p w14:paraId="375B4308" w14:textId="77777777" w:rsidR="009612C7" w:rsidRPr="009612C7" w:rsidRDefault="009612C7" w:rsidP="009612C7">
            <w:pPr>
              <w:spacing w:after="0" w:line="240" w:lineRule="auto"/>
              <w:jc w:val="both"/>
              <w:rPr>
                <w:rFonts w:ascii="Century Gothic" w:hAnsi="Century Gothic"/>
                <w:sz w:val="22"/>
                <w:szCs w:val="22"/>
              </w:rPr>
            </w:pPr>
            <w:r w:rsidRPr="009612C7">
              <w:rPr>
                <w:rFonts w:ascii="Century Gothic" w:hAnsi="Century Gothic"/>
                <w:b/>
                <w:bCs/>
                <w:sz w:val="22"/>
                <w:szCs w:val="22"/>
              </w:rPr>
              <w:t>Conflictos de Competencia</w:t>
            </w:r>
          </w:p>
          <w:p w14:paraId="4327488C" w14:textId="78582C1D" w:rsidR="009612C7" w:rsidRPr="009612C7" w:rsidRDefault="009612C7" w:rsidP="009612C7">
            <w:pPr>
              <w:spacing w:after="0" w:line="240" w:lineRule="auto"/>
              <w:jc w:val="both"/>
              <w:rPr>
                <w:rFonts w:ascii="Century Gothic" w:hAnsi="Century Gothic"/>
                <w:sz w:val="22"/>
                <w:szCs w:val="22"/>
              </w:rPr>
            </w:pPr>
            <w:r w:rsidRPr="009612C7">
              <w:rPr>
                <w:rFonts w:ascii="Century Gothic" w:hAnsi="Century Gothic"/>
                <w:sz w:val="22"/>
                <w:szCs w:val="22"/>
              </w:rPr>
              <w:t xml:space="preserve">Concepto y tipos: conflicto positivo (ambos jueces se declaran competentes) y negativo (ninguno quiere el proceso). Procedimiento de </w:t>
            </w:r>
            <w:r w:rsidR="007C31B7" w:rsidRPr="009612C7">
              <w:rPr>
                <w:rFonts w:ascii="Century Gothic" w:hAnsi="Century Gothic"/>
                <w:sz w:val="22"/>
                <w:szCs w:val="22"/>
              </w:rPr>
              <w:t>resolución</w:t>
            </w:r>
            <w:r w:rsidRPr="009612C7">
              <w:rPr>
                <w:rFonts w:ascii="Century Gothic" w:hAnsi="Century Gothic"/>
                <w:sz w:val="22"/>
                <w:szCs w:val="22"/>
              </w:rPr>
              <w:t xml:space="preserve">: el superior </w:t>
            </w:r>
            <w:r w:rsidR="007C31B7" w:rsidRPr="009612C7">
              <w:rPr>
                <w:rFonts w:ascii="Century Gothic" w:hAnsi="Century Gothic"/>
                <w:sz w:val="22"/>
                <w:szCs w:val="22"/>
              </w:rPr>
              <w:t>jerárquico</w:t>
            </w:r>
            <w:r w:rsidRPr="009612C7">
              <w:rPr>
                <w:rFonts w:ascii="Century Gothic" w:hAnsi="Century Gothic"/>
                <w:sz w:val="22"/>
                <w:szCs w:val="22"/>
              </w:rPr>
              <w:t xml:space="preserve"> </w:t>
            </w:r>
            <w:r w:rsidR="007C31B7" w:rsidRPr="009612C7">
              <w:rPr>
                <w:rFonts w:ascii="Century Gothic" w:hAnsi="Century Gothic"/>
                <w:sz w:val="22"/>
                <w:szCs w:val="22"/>
              </w:rPr>
              <w:t>común</w:t>
            </w:r>
            <w:r w:rsidRPr="009612C7">
              <w:rPr>
                <w:rFonts w:ascii="Century Gothic" w:hAnsi="Century Gothic"/>
                <w:sz w:val="22"/>
                <w:szCs w:val="22"/>
              </w:rPr>
              <w:t xml:space="preserve"> decide (Art. 141 CGP). Tabla de quien resuelve </w:t>
            </w:r>
            <w:r w:rsidR="007C31B7" w:rsidRPr="009612C7">
              <w:rPr>
                <w:rFonts w:ascii="Century Gothic" w:hAnsi="Century Gothic"/>
                <w:sz w:val="22"/>
                <w:szCs w:val="22"/>
              </w:rPr>
              <w:t>según</w:t>
            </w:r>
            <w:r w:rsidRPr="009612C7">
              <w:rPr>
                <w:rFonts w:ascii="Century Gothic" w:hAnsi="Century Gothic"/>
                <w:sz w:val="22"/>
                <w:szCs w:val="22"/>
              </w:rPr>
              <w:t xml:space="preserve"> los jueces en conflicto. Efectos sobre el proceso: </w:t>
            </w:r>
            <w:r w:rsidR="007C31B7" w:rsidRPr="009612C7">
              <w:rPr>
                <w:rFonts w:ascii="Century Gothic" w:hAnsi="Century Gothic"/>
                <w:sz w:val="22"/>
                <w:szCs w:val="22"/>
              </w:rPr>
              <w:t>suspensión</w:t>
            </w:r>
            <w:r w:rsidRPr="009612C7">
              <w:rPr>
                <w:rFonts w:ascii="Century Gothic" w:hAnsi="Century Gothic"/>
                <w:sz w:val="22"/>
                <w:szCs w:val="22"/>
              </w:rPr>
              <w:t xml:space="preserve">, </w:t>
            </w:r>
            <w:r w:rsidR="007C31B7" w:rsidRPr="009612C7">
              <w:rPr>
                <w:rFonts w:ascii="Century Gothic" w:hAnsi="Century Gothic"/>
                <w:sz w:val="22"/>
                <w:szCs w:val="22"/>
              </w:rPr>
              <w:t>conservación</w:t>
            </w:r>
            <w:r w:rsidRPr="009612C7">
              <w:rPr>
                <w:rFonts w:ascii="Century Gothic" w:hAnsi="Century Gothic"/>
                <w:sz w:val="22"/>
                <w:szCs w:val="22"/>
              </w:rPr>
              <w:t xml:space="preserve"> de medidas cautelares y practica de pruebas urgentes. Impedimentos y recusaciones como figuras conexas.</w:t>
            </w:r>
          </w:p>
        </w:tc>
      </w:tr>
    </w:tbl>
    <w:p w14:paraId="6D0EBA87" w14:textId="77777777" w:rsidR="009612C7" w:rsidRPr="009612C7" w:rsidRDefault="009612C7" w:rsidP="009612C7">
      <w:pPr>
        <w:spacing w:after="0" w:line="240" w:lineRule="auto"/>
        <w:jc w:val="both"/>
        <w:rPr>
          <w:rFonts w:ascii="Century Gothic" w:hAnsi="Century Gothic"/>
          <w:sz w:val="22"/>
          <w:szCs w:val="22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35"/>
        <w:gridCol w:w="8293"/>
      </w:tblGrid>
      <w:tr w:rsidR="009612C7" w:rsidRPr="009612C7" w14:paraId="29CBE7B9" w14:textId="77777777" w:rsidTr="009612C7">
        <w:tc>
          <w:tcPr>
            <w:tcW w:w="0" w:type="auto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1A3A5C"/>
            <w:tcMar>
              <w:top w:w="100" w:type="dxa"/>
              <w:left w:w="120" w:type="dxa"/>
              <w:bottom w:w="100" w:type="dxa"/>
              <w:right w:w="120" w:type="dxa"/>
            </w:tcMar>
            <w:hideMark/>
          </w:tcPr>
          <w:p w14:paraId="6916ACB9" w14:textId="138EDB34" w:rsidR="009612C7" w:rsidRPr="009612C7" w:rsidRDefault="007C31B7" w:rsidP="009612C7">
            <w:pPr>
              <w:spacing w:after="0" w:line="240" w:lineRule="auto"/>
              <w:jc w:val="both"/>
              <w:rPr>
                <w:rFonts w:ascii="Century Gothic" w:hAnsi="Century Gothic"/>
                <w:sz w:val="22"/>
                <w:szCs w:val="22"/>
              </w:rPr>
            </w:pPr>
            <w:r w:rsidRPr="009612C7">
              <w:rPr>
                <w:rFonts w:ascii="Century Gothic" w:hAnsi="Century Gothic"/>
                <w:b/>
                <w:bCs/>
                <w:sz w:val="22"/>
                <w:szCs w:val="22"/>
              </w:rPr>
              <w:t>C</w:t>
            </w:r>
            <w:r>
              <w:rPr>
                <w:rFonts w:ascii="Century Gothic" w:hAnsi="Century Gothic"/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0" w:type="auto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5F8FC"/>
            <w:tcMar>
              <w:top w:w="100" w:type="dxa"/>
              <w:left w:w="160" w:type="dxa"/>
              <w:bottom w:w="100" w:type="dxa"/>
              <w:right w:w="160" w:type="dxa"/>
            </w:tcMar>
            <w:hideMark/>
          </w:tcPr>
          <w:p w14:paraId="25ED33C3" w14:textId="2FCE216F" w:rsidR="009612C7" w:rsidRPr="009612C7" w:rsidRDefault="007C31B7" w:rsidP="009612C7">
            <w:pPr>
              <w:spacing w:after="0" w:line="240" w:lineRule="auto"/>
              <w:jc w:val="both"/>
              <w:rPr>
                <w:rFonts w:ascii="Century Gothic" w:hAnsi="Century Gothic"/>
                <w:sz w:val="22"/>
                <w:szCs w:val="22"/>
              </w:rPr>
            </w:pPr>
            <w:r w:rsidRPr="009612C7">
              <w:rPr>
                <w:rFonts w:ascii="Century Gothic" w:hAnsi="Century Gothic"/>
                <w:b/>
                <w:bCs/>
                <w:sz w:val="22"/>
                <w:szCs w:val="22"/>
              </w:rPr>
              <w:t>Perpetua tío</w:t>
            </w:r>
            <w:r w:rsidR="009612C7" w:rsidRPr="009612C7">
              <w:rPr>
                <w:rFonts w:ascii="Century Gothic" w:hAnsi="Century Gothic"/>
                <w:b/>
                <w:bCs/>
                <w:sz w:val="22"/>
                <w:szCs w:val="22"/>
              </w:rPr>
              <w:t xml:space="preserve"> </w:t>
            </w:r>
            <w:r w:rsidRPr="009612C7">
              <w:rPr>
                <w:rFonts w:ascii="Century Gothic" w:hAnsi="Century Gothic"/>
                <w:b/>
                <w:bCs/>
                <w:sz w:val="22"/>
                <w:szCs w:val="22"/>
              </w:rPr>
              <w:t>Jurisdicciones</w:t>
            </w:r>
            <w:r w:rsidR="009612C7" w:rsidRPr="009612C7">
              <w:rPr>
                <w:rFonts w:ascii="Century Gothic" w:hAnsi="Century Gothic"/>
                <w:b/>
                <w:bCs/>
                <w:sz w:val="22"/>
                <w:szCs w:val="22"/>
              </w:rPr>
              <w:t xml:space="preserve"> y el Reparto</w:t>
            </w:r>
          </w:p>
          <w:p w14:paraId="17E791AA" w14:textId="037DE5CA" w:rsidR="009612C7" w:rsidRPr="009612C7" w:rsidRDefault="009612C7" w:rsidP="009612C7">
            <w:pPr>
              <w:spacing w:after="0" w:line="240" w:lineRule="auto"/>
              <w:jc w:val="both"/>
              <w:rPr>
                <w:rFonts w:ascii="Century Gothic" w:hAnsi="Century Gothic"/>
                <w:sz w:val="22"/>
                <w:szCs w:val="22"/>
              </w:rPr>
            </w:pPr>
            <w:r w:rsidRPr="009612C7">
              <w:rPr>
                <w:rFonts w:ascii="Century Gothic" w:hAnsi="Century Gothic"/>
                <w:sz w:val="22"/>
                <w:szCs w:val="22"/>
              </w:rPr>
              <w:t xml:space="preserve">Principio de </w:t>
            </w:r>
            <w:r w:rsidR="007C31B7" w:rsidRPr="009612C7">
              <w:rPr>
                <w:rFonts w:ascii="Century Gothic" w:hAnsi="Century Gothic"/>
                <w:sz w:val="22"/>
                <w:szCs w:val="22"/>
              </w:rPr>
              <w:t>perpetua tío</w:t>
            </w:r>
            <w:r w:rsidRPr="009612C7">
              <w:rPr>
                <w:rFonts w:ascii="Century Gothic" w:hAnsi="Century Gothic"/>
                <w:sz w:val="22"/>
                <w:szCs w:val="22"/>
              </w:rPr>
              <w:t xml:space="preserve"> </w:t>
            </w:r>
            <w:r w:rsidR="007C31B7" w:rsidRPr="009612C7">
              <w:rPr>
                <w:rFonts w:ascii="Century Gothic" w:hAnsi="Century Gothic"/>
                <w:sz w:val="22"/>
                <w:szCs w:val="22"/>
              </w:rPr>
              <w:t>jurisdicciones</w:t>
            </w:r>
            <w:r w:rsidRPr="009612C7">
              <w:rPr>
                <w:rFonts w:ascii="Century Gothic" w:hAnsi="Century Gothic"/>
                <w:sz w:val="22"/>
                <w:szCs w:val="22"/>
              </w:rPr>
              <w:t xml:space="preserve">: la competencia se fija al momento de presentar la demanda y no cambia por hechos sobrevinientes. Cuatro casos </w:t>
            </w:r>
            <w:r w:rsidR="007C31B7" w:rsidRPr="009612C7">
              <w:rPr>
                <w:rFonts w:ascii="Century Gothic" w:hAnsi="Century Gothic"/>
                <w:sz w:val="22"/>
                <w:szCs w:val="22"/>
              </w:rPr>
              <w:t>prácticos</w:t>
            </w:r>
            <w:r w:rsidRPr="009612C7">
              <w:rPr>
                <w:rFonts w:ascii="Century Gothic" w:hAnsi="Century Gothic"/>
                <w:sz w:val="22"/>
                <w:szCs w:val="22"/>
              </w:rPr>
              <w:t xml:space="preserve">: cambio de domicilio, </w:t>
            </w:r>
            <w:r w:rsidR="007C31B7" w:rsidRPr="009612C7">
              <w:rPr>
                <w:rFonts w:ascii="Century Gothic" w:hAnsi="Century Gothic"/>
                <w:sz w:val="22"/>
                <w:szCs w:val="22"/>
              </w:rPr>
              <w:t>variación</w:t>
            </w:r>
            <w:r w:rsidRPr="009612C7">
              <w:rPr>
                <w:rFonts w:ascii="Century Gothic" w:hAnsi="Century Gothic"/>
                <w:sz w:val="22"/>
                <w:szCs w:val="22"/>
              </w:rPr>
              <w:t xml:space="preserve"> de cuantia, ley nueva y </w:t>
            </w:r>
            <w:r w:rsidR="007C31B7" w:rsidRPr="009612C7">
              <w:rPr>
                <w:rFonts w:ascii="Century Gothic" w:hAnsi="Century Gothic"/>
                <w:sz w:val="22"/>
                <w:szCs w:val="22"/>
              </w:rPr>
              <w:t>acumulación</w:t>
            </w:r>
            <w:r w:rsidRPr="009612C7">
              <w:rPr>
                <w:rFonts w:ascii="Century Gothic" w:hAnsi="Century Gothic"/>
                <w:sz w:val="22"/>
                <w:szCs w:val="22"/>
              </w:rPr>
              <w:t xml:space="preserve"> sobreviniente. </w:t>
            </w:r>
            <w:r w:rsidR="007C31B7" w:rsidRPr="009612C7">
              <w:rPr>
                <w:rFonts w:ascii="Century Gothic" w:hAnsi="Century Gothic"/>
                <w:sz w:val="22"/>
                <w:szCs w:val="22"/>
              </w:rPr>
              <w:t>Límites</w:t>
            </w:r>
            <w:r w:rsidRPr="009612C7">
              <w:rPr>
                <w:rFonts w:ascii="Century Gothic" w:hAnsi="Century Gothic"/>
                <w:sz w:val="22"/>
                <w:szCs w:val="22"/>
              </w:rPr>
              <w:t xml:space="preserve"> del principio. El reparto: </w:t>
            </w:r>
            <w:r w:rsidR="007C31B7" w:rsidRPr="009612C7">
              <w:rPr>
                <w:rFonts w:ascii="Century Gothic" w:hAnsi="Century Gothic"/>
                <w:sz w:val="22"/>
                <w:szCs w:val="22"/>
              </w:rPr>
              <w:t>distribución</w:t>
            </w:r>
            <w:r w:rsidRPr="009612C7">
              <w:rPr>
                <w:rFonts w:ascii="Century Gothic" w:hAnsi="Century Gothic"/>
                <w:sz w:val="22"/>
                <w:szCs w:val="22"/>
              </w:rPr>
              <w:t xml:space="preserve"> interna entre juzgados del mismo nivel en la misma ciudad. Acuerdo PCSJA20-11521 CSJ: reparto </w:t>
            </w:r>
            <w:r w:rsidR="007C31B7" w:rsidRPr="009612C7">
              <w:rPr>
                <w:rFonts w:ascii="Century Gothic" w:hAnsi="Century Gothic"/>
                <w:sz w:val="22"/>
                <w:szCs w:val="22"/>
              </w:rPr>
              <w:t>electrónico</w:t>
            </w:r>
            <w:r w:rsidRPr="009612C7">
              <w:rPr>
                <w:rFonts w:ascii="Century Gothic" w:hAnsi="Century Gothic"/>
                <w:sz w:val="22"/>
                <w:szCs w:val="22"/>
              </w:rPr>
              <w:t xml:space="preserve">. </w:t>
            </w:r>
          </w:p>
        </w:tc>
      </w:tr>
    </w:tbl>
    <w:p w14:paraId="0E856A32" w14:textId="77777777" w:rsidR="009612C7" w:rsidRPr="009612C7" w:rsidRDefault="009612C7" w:rsidP="009612C7">
      <w:pPr>
        <w:spacing w:after="0" w:line="240" w:lineRule="auto"/>
        <w:jc w:val="both"/>
        <w:rPr>
          <w:rFonts w:ascii="Century Gothic" w:hAnsi="Century Gothic"/>
          <w:sz w:val="22"/>
          <w:szCs w:val="22"/>
        </w:rPr>
      </w:pPr>
    </w:p>
    <w:p w14:paraId="2F47A64E" w14:textId="77777777" w:rsidR="009612C7" w:rsidRPr="009612C7" w:rsidRDefault="009612C7" w:rsidP="009612C7">
      <w:pPr>
        <w:spacing w:after="0" w:line="240" w:lineRule="auto"/>
        <w:jc w:val="both"/>
        <w:rPr>
          <w:rFonts w:ascii="Century Gothic" w:hAnsi="Century Gothic"/>
          <w:sz w:val="22"/>
          <w:szCs w:val="22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010"/>
      </w:tblGrid>
      <w:tr w:rsidR="009612C7" w:rsidRPr="009612C7" w14:paraId="73270C19" w14:textId="77777777" w:rsidTr="009612C7">
        <w:tc>
          <w:tcPr>
            <w:tcW w:w="0" w:type="auto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1A7A4A"/>
            <w:tcMar>
              <w:top w:w="140" w:type="dxa"/>
              <w:left w:w="220" w:type="dxa"/>
              <w:bottom w:w="140" w:type="dxa"/>
              <w:right w:w="220" w:type="dxa"/>
            </w:tcMar>
            <w:hideMark/>
          </w:tcPr>
          <w:p w14:paraId="6AC3C345" w14:textId="77777777" w:rsidR="009612C7" w:rsidRPr="009612C7" w:rsidRDefault="009612C7" w:rsidP="009612C7">
            <w:pPr>
              <w:spacing w:after="0" w:line="240" w:lineRule="auto"/>
              <w:jc w:val="both"/>
              <w:rPr>
                <w:rFonts w:ascii="Century Gothic" w:hAnsi="Century Gothic"/>
                <w:sz w:val="22"/>
                <w:szCs w:val="22"/>
              </w:rPr>
            </w:pPr>
            <w:r w:rsidRPr="009612C7">
              <w:rPr>
                <w:rFonts w:ascii="Century Gothic" w:hAnsi="Century Gothic"/>
                <w:b/>
                <w:bCs/>
                <w:sz w:val="22"/>
                <w:szCs w:val="22"/>
              </w:rPr>
              <w:t>MODULO 3  SUJETOS PROCESALES Y LITISCONSORCIO</w:t>
            </w:r>
          </w:p>
        </w:tc>
      </w:tr>
    </w:tbl>
    <w:p w14:paraId="3C0819B6" w14:textId="77777777" w:rsidR="009612C7" w:rsidRPr="009612C7" w:rsidRDefault="009612C7" w:rsidP="009612C7">
      <w:pPr>
        <w:spacing w:after="0" w:line="240" w:lineRule="auto"/>
        <w:jc w:val="both"/>
        <w:rPr>
          <w:rFonts w:ascii="Century Gothic" w:hAnsi="Century Gothic"/>
          <w:sz w:val="22"/>
          <w:szCs w:val="22"/>
        </w:rPr>
      </w:pPr>
    </w:p>
    <w:p w14:paraId="1DCF340F" w14:textId="77777777" w:rsidR="009612C7" w:rsidRPr="009612C7" w:rsidRDefault="009612C7" w:rsidP="009612C7">
      <w:pPr>
        <w:spacing w:after="0" w:line="240" w:lineRule="auto"/>
        <w:jc w:val="both"/>
        <w:rPr>
          <w:rFonts w:ascii="Century Gothic" w:hAnsi="Century Gothic"/>
          <w:sz w:val="22"/>
          <w:szCs w:val="22"/>
        </w:rPr>
      </w:pPr>
      <w:r w:rsidRPr="009612C7">
        <w:rPr>
          <w:rFonts w:ascii="Century Gothic" w:hAnsi="Century Gothic"/>
          <w:b/>
          <w:bCs/>
          <w:sz w:val="22"/>
          <w:szCs w:val="22"/>
        </w:rPr>
        <w:t xml:space="preserve">Enfoque: </w:t>
      </w:r>
      <w:r w:rsidRPr="009612C7">
        <w:rPr>
          <w:rFonts w:ascii="Century Gothic" w:hAnsi="Century Gothic"/>
          <w:i/>
          <w:iCs/>
          <w:sz w:val="22"/>
          <w:szCs w:val="22"/>
        </w:rPr>
        <w:t>"Los Actores del Drama Judicial"</w:t>
      </w:r>
    </w:p>
    <w:p w14:paraId="310CEE3B" w14:textId="330AD10E" w:rsidR="009612C7" w:rsidRPr="009612C7" w:rsidRDefault="009612C7" w:rsidP="009612C7">
      <w:pPr>
        <w:spacing w:after="0" w:line="240" w:lineRule="auto"/>
        <w:jc w:val="both"/>
        <w:rPr>
          <w:rFonts w:ascii="Century Gothic" w:hAnsi="Century Gothic"/>
          <w:sz w:val="22"/>
          <w:szCs w:val="22"/>
        </w:rPr>
      </w:pPr>
      <w:r w:rsidRPr="009612C7">
        <w:rPr>
          <w:rFonts w:ascii="Century Gothic" w:hAnsi="Century Gothic"/>
          <w:sz w:val="22"/>
          <w:szCs w:val="22"/>
        </w:rPr>
        <w:t xml:space="preserve">Este </w:t>
      </w:r>
      <w:r w:rsidR="007C31B7" w:rsidRPr="009612C7">
        <w:rPr>
          <w:rFonts w:ascii="Century Gothic" w:hAnsi="Century Gothic"/>
          <w:sz w:val="22"/>
          <w:szCs w:val="22"/>
        </w:rPr>
        <w:t>módulo</w:t>
      </w:r>
      <w:r w:rsidRPr="009612C7">
        <w:rPr>
          <w:rFonts w:ascii="Century Gothic" w:hAnsi="Century Gothic"/>
          <w:sz w:val="22"/>
          <w:szCs w:val="22"/>
        </w:rPr>
        <w:t xml:space="preserve"> identifica y caracteriza a cada uno de los sujetos que participan en el proceso civil colombiano: el juez como director activo, las partes con sus capacidades y </w:t>
      </w:r>
      <w:r w:rsidR="007C31B7" w:rsidRPr="009612C7">
        <w:rPr>
          <w:rFonts w:ascii="Century Gothic" w:hAnsi="Century Gothic"/>
          <w:sz w:val="22"/>
          <w:szCs w:val="22"/>
        </w:rPr>
        <w:t>representación</w:t>
      </w:r>
      <w:r w:rsidRPr="009612C7">
        <w:rPr>
          <w:rFonts w:ascii="Century Gothic" w:hAnsi="Century Gothic"/>
          <w:sz w:val="22"/>
          <w:szCs w:val="22"/>
        </w:rPr>
        <w:t xml:space="preserve">, los terceros que intervienen por </w:t>
      </w:r>
      <w:r w:rsidR="007C31B7" w:rsidRPr="009612C7">
        <w:rPr>
          <w:rFonts w:ascii="Century Gothic" w:hAnsi="Century Gothic"/>
          <w:sz w:val="22"/>
          <w:szCs w:val="22"/>
        </w:rPr>
        <w:t>interés</w:t>
      </w:r>
      <w:r w:rsidRPr="009612C7">
        <w:rPr>
          <w:rFonts w:ascii="Century Gothic" w:hAnsi="Century Gothic"/>
          <w:sz w:val="22"/>
          <w:szCs w:val="22"/>
        </w:rPr>
        <w:t xml:space="preserve"> propio, y los auxiliares </w:t>
      </w:r>
      <w:r w:rsidR="007C31B7" w:rsidRPr="009612C7">
        <w:rPr>
          <w:rFonts w:ascii="Century Gothic" w:hAnsi="Century Gothic"/>
          <w:sz w:val="22"/>
          <w:szCs w:val="22"/>
        </w:rPr>
        <w:t>técnicos</w:t>
      </w:r>
      <w:r w:rsidRPr="009612C7">
        <w:rPr>
          <w:rFonts w:ascii="Century Gothic" w:hAnsi="Century Gothic"/>
          <w:sz w:val="22"/>
          <w:szCs w:val="22"/>
        </w:rPr>
        <w:t xml:space="preserve"> que colaboran con la justicia. Se estudia especialmente el litisconsorcio como figura que determina quienes deben ser vinculados obligatoriamente al proceso para que la sentencia sea </w:t>
      </w:r>
      <w:r w:rsidR="007C31B7" w:rsidRPr="009612C7">
        <w:rPr>
          <w:rFonts w:ascii="Century Gothic" w:hAnsi="Century Gothic"/>
          <w:sz w:val="22"/>
          <w:szCs w:val="22"/>
        </w:rPr>
        <w:t>válida</w:t>
      </w:r>
      <w:r w:rsidRPr="009612C7">
        <w:rPr>
          <w:rFonts w:ascii="Century Gothic" w:hAnsi="Century Gothic"/>
          <w:sz w:val="22"/>
          <w:szCs w:val="22"/>
        </w:rPr>
        <w:t>.</w:t>
      </w:r>
    </w:p>
    <w:p w14:paraId="581C0B8C" w14:textId="77777777" w:rsidR="009612C7" w:rsidRPr="009612C7" w:rsidRDefault="009612C7" w:rsidP="009612C7">
      <w:pPr>
        <w:spacing w:after="0" w:line="240" w:lineRule="auto"/>
        <w:jc w:val="both"/>
        <w:rPr>
          <w:rFonts w:ascii="Century Gothic" w:hAnsi="Century Gothic"/>
          <w:sz w:val="22"/>
          <w:szCs w:val="22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35"/>
        <w:gridCol w:w="8293"/>
      </w:tblGrid>
      <w:tr w:rsidR="009612C7" w:rsidRPr="009612C7" w14:paraId="6A664251" w14:textId="77777777" w:rsidTr="009612C7">
        <w:tc>
          <w:tcPr>
            <w:tcW w:w="0" w:type="auto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1A3A5C"/>
            <w:tcMar>
              <w:top w:w="100" w:type="dxa"/>
              <w:left w:w="120" w:type="dxa"/>
              <w:bottom w:w="100" w:type="dxa"/>
              <w:right w:w="120" w:type="dxa"/>
            </w:tcMar>
            <w:hideMark/>
          </w:tcPr>
          <w:p w14:paraId="46F3E9F4" w14:textId="77777777" w:rsidR="009612C7" w:rsidRPr="009612C7" w:rsidRDefault="009612C7" w:rsidP="009612C7">
            <w:pPr>
              <w:spacing w:after="0" w:line="240" w:lineRule="auto"/>
              <w:jc w:val="both"/>
              <w:rPr>
                <w:rFonts w:ascii="Century Gothic" w:hAnsi="Century Gothic"/>
                <w:sz w:val="22"/>
                <w:szCs w:val="22"/>
              </w:rPr>
            </w:pPr>
            <w:r w:rsidRPr="009612C7">
              <w:rPr>
                <w:rFonts w:ascii="Century Gothic" w:hAnsi="Century Gothic"/>
                <w:b/>
                <w:bCs/>
                <w:sz w:val="22"/>
                <w:szCs w:val="22"/>
              </w:rPr>
              <w:t>C1</w:t>
            </w:r>
          </w:p>
        </w:tc>
        <w:tc>
          <w:tcPr>
            <w:tcW w:w="0" w:type="auto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5F8FC"/>
            <w:tcMar>
              <w:top w:w="100" w:type="dxa"/>
              <w:left w:w="160" w:type="dxa"/>
              <w:bottom w:w="100" w:type="dxa"/>
              <w:right w:w="160" w:type="dxa"/>
            </w:tcMar>
            <w:hideMark/>
          </w:tcPr>
          <w:p w14:paraId="1663054B" w14:textId="77777777" w:rsidR="009612C7" w:rsidRPr="009612C7" w:rsidRDefault="009612C7" w:rsidP="009612C7">
            <w:pPr>
              <w:spacing w:after="0" w:line="240" w:lineRule="auto"/>
              <w:jc w:val="both"/>
              <w:rPr>
                <w:rFonts w:ascii="Century Gothic" w:hAnsi="Century Gothic"/>
                <w:sz w:val="22"/>
                <w:szCs w:val="22"/>
              </w:rPr>
            </w:pPr>
            <w:r w:rsidRPr="009612C7">
              <w:rPr>
                <w:rFonts w:ascii="Century Gothic" w:hAnsi="Century Gothic"/>
                <w:b/>
                <w:bCs/>
                <w:sz w:val="22"/>
                <w:szCs w:val="22"/>
              </w:rPr>
              <w:t>El Juez: Deberes, Poderes y Responsabilidad</w:t>
            </w:r>
          </w:p>
          <w:p w14:paraId="6FCEC4F1" w14:textId="20235A7C" w:rsidR="009612C7" w:rsidRPr="009612C7" w:rsidRDefault="009612C7" w:rsidP="009612C7">
            <w:pPr>
              <w:spacing w:after="0" w:line="240" w:lineRule="auto"/>
              <w:jc w:val="both"/>
              <w:rPr>
                <w:rFonts w:ascii="Century Gothic" w:hAnsi="Century Gothic"/>
                <w:sz w:val="22"/>
                <w:szCs w:val="22"/>
              </w:rPr>
            </w:pPr>
            <w:r w:rsidRPr="009612C7">
              <w:rPr>
                <w:rFonts w:ascii="Century Gothic" w:hAnsi="Century Gothic"/>
                <w:sz w:val="22"/>
                <w:szCs w:val="22"/>
              </w:rPr>
              <w:t xml:space="preserve">El juez director activo del proceso (modelo publicistico del CGP vs. modelo dispositivo anterior). Los siete deberes del Art. 42 CGP: respeto al debido proceso, </w:t>
            </w:r>
            <w:r w:rsidR="007C31B7" w:rsidRPr="009612C7">
              <w:rPr>
                <w:rFonts w:ascii="Century Gothic" w:hAnsi="Century Gothic"/>
                <w:sz w:val="22"/>
                <w:szCs w:val="22"/>
              </w:rPr>
              <w:t>dirección</w:t>
            </w:r>
            <w:r w:rsidRPr="009612C7">
              <w:rPr>
                <w:rFonts w:ascii="Century Gothic" w:hAnsi="Century Gothic"/>
                <w:sz w:val="22"/>
                <w:szCs w:val="22"/>
              </w:rPr>
              <w:t xml:space="preserve">, deber de fallar, </w:t>
            </w:r>
            <w:r w:rsidR="007C31B7" w:rsidRPr="009612C7">
              <w:rPr>
                <w:rFonts w:ascii="Century Gothic" w:hAnsi="Century Gothic"/>
                <w:sz w:val="22"/>
                <w:szCs w:val="22"/>
              </w:rPr>
              <w:t>motivación</w:t>
            </w:r>
            <w:r w:rsidRPr="009612C7">
              <w:rPr>
                <w:rFonts w:ascii="Century Gothic" w:hAnsi="Century Gothic"/>
                <w:sz w:val="22"/>
                <w:szCs w:val="22"/>
              </w:rPr>
              <w:t xml:space="preserve">, lenguaje claro, saneamiento y respeto al precedente. Los cuatro poderes: </w:t>
            </w:r>
            <w:r w:rsidR="007C31B7" w:rsidRPr="009612C7">
              <w:rPr>
                <w:rFonts w:ascii="Century Gothic" w:hAnsi="Century Gothic"/>
                <w:sz w:val="22"/>
                <w:szCs w:val="22"/>
              </w:rPr>
              <w:t>ordenación</w:t>
            </w:r>
            <w:r w:rsidRPr="009612C7">
              <w:rPr>
                <w:rFonts w:ascii="Century Gothic" w:hAnsi="Century Gothic"/>
                <w:sz w:val="22"/>
                <w:szCs w:val="22"/>
              </w:rPr>
              <w:t xml:space="preserve"> e </w:t>
            </w:r>
            <w:r w:rsidR="007C31B7" w:rsidRPr="009612C7">
              <w:rPr>
                <w:rFonts w:ascii="Century Gothic" w:hAnsi="Century Gothic"/>
                <w:sz w:val="22"/>
                <w:szCs w:val="22"/>
              </w:rPr>
              <w:t>instrucción</w:t>
            </w:r>
            <w:r w:rsidRPr="009612C7">
              <w:rPr>
                <w:rFonts w:ascii="Century Gothic" w:hAnsi="Century Gothic"/>
                <w:sz w:val="22"/>
                <w:szCs w:val="22"/>
              </w:rPr>
              <w:t xml:space="preserve"> (Art. 43), coercitivos (Art. 44), disciplinarios y de </w:t>
            </w:r>
            <w:r w:rsidR="007C31B7" w:rsidRPr="009612C7">
              <w:rPr>
                <w:rFonts w:ascii="Century Gothic" w:hAnsi="Century Gothic"/>
                <w:sz w:val="22"/>
                <w:szCs w:val="22"/>
              </w:rPr>
              <w:t>sanción</w:t>
            </w:r>
            <w:r w:rsidRPr="009612C7">
              <w:rPr>
                <w:rFonts w:ascii="Century Gothic" w:hAnsi="Century Gothic"/>
                <w:sz w:val="22"/>
                <w:szCs w:val="22"/>
              </w:rPr>
              <w:t xml:space="preserve"> (Art. 78). Pruebas de oficio (Art. 169 CGP). Triple responsabilidad: disciplinaria, penal (prevaricato) y patrimonial del Estado.</w:t>
            </w:r>
          </w:p>
        </w:tc>
      </w:tr>
    </w:tbl>
    <w:p w14:paraId="700B0580" w14:textId="77777777" w:rsidR="009612C7" w:rsidRPr="009612C7" w:rsidRDefault="009612C7" w:rsidP="009612C7">
      <w:pPr>
        <w:spacing w:after="0" w:line="240" w:lineRule="auto"/>
        <w:jc w:val="both"/>
        <w:rPr>
          <w:rFonts w:ascii="Century Gothic" w:hAnsi="Century Gothic"/>
          <w:sz w:val="22"/>
          <w:szCs w:val="22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35"/>
        <w:gridCol w:w="8293"/>
      </w:tblGrid>
      <w:tr w:rsidR="009612C7" w:rsidRPr="009612C7" w14:paraId="58A74131" w14:textId="77777777" w:rsidTr="009612C7">
        <w:tc>
          <w:tcPr>
            <w:tcW w:w="0" w:type="auto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1A3A5C"/>
            <w:tcMar>
              <w:top w:w="100" w:type="dxa"/>
              <w:left w:w="120" w:type="dxa"/>
              <w:bottom w:w="100" w:type="dxa"/>
              <w:right w:w="120" w:type="dxa"/>
            </w:tcMar>
            <w:hideMark/>
          </w:tcPr>
          <w:p w14:paraId="71DEE4CD" w14:textId="77777777" w:rsidR="009612C7" w:rsidRPr="009612C7" w:rsidRDefault="009612C7" w:rsidP="009612C7">
            <w:pPr>
              <w:spacing w:after="0" w:line="240" w:lineRule="auto"/>
              <w:jc w:val="both"/>
              <w:rPr>
                <w:rFonts w:ascii="Century Gothic" w:hAnsi="Century Gothic"/>
                <w:sz w:val="22"/>
                <w:szCs w:val="22"/>
              </w:rPr>
            </w:pPr>
            <w:r w:rsidRPr="009612C7">
              <w:rPr>
                <w:rFonts w:ascii="Century Gothic" w:hAnsi="Century Gothic"/>
                <w:b/>
                <w:bCs/>
                <w:sz w:val="22"/>
                <w:szCs w:val="22"/>
              </w:rPr>
              <w:lastRenderedPageBreak/>
              <w:t>C2</w:t>
            </w:r>
          </w:p>
        </w:tc>
        <w:tc>
          <w:tcPr>
            <w:tcW w:w="0" w:type="auto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5F8FC"/>
            <w:tcMar>
              <w:top w:w="100" w:type="dxa"/>
              <w:left w:w="160" w:type="dxa"/>
              <w:bottom w:w="100" w:type="dxa"/>
              <w:right w:w="160" w:type="dxa"/>
            </w:tcMar>
            <w:hideMark/>
          </w:tcPr>
          <w:p w14:paraId="0EFC7C7E" w14:textId="77777777" w:rsidR="009612C7" w:rsidRPr="009612C7" w:rsidRDefault="009612C7" w:rsidP="009612C7">
            <w:pPr>
              <w:spacing w:after="0" w:line="240" w:lineRule="auto"/>
              <w:jc w:val="both"/>
              <w:rPr>
                <w:rFonts w:ascii="Century Gothic" w:hAnsi="Century Gothic"/>
                <w:sz w:val="22"/>
                <w:szCs w:val="22"/>
              </w:rPr>
            </w:pPr>
            <w:r w:rsidRPr="009612C7">
              <w:rPr>
                <w:rFonts w:ascii="Century Gothic" w:hAnsi="Century Gothic"/>
                <w:b/>
                <w:bCs/>
                <w:sz w:val="22"/>
                <w:szCs w:val="22"/>
              </w:rPr>
              <w:t>Impedimentos y Recusaciones</w:t>
            </w:r>
          </w:p>
          <w:p w14:paraId="0740B688" w14:textId="0FE5158E" w:rsidR="009612C7" w:rsidRPr="009612C7" w:rsidRDefault="009612C7" w:rsidP="009612C7">
            <w:pPr>
              <w:spacing w:after="0" w:line="240" w:lineRule="auto"/>
              <w:jc w:val="both"/>
              <w:rPr>
                <w:rFonts w:ascii="Century Gothic" w:hAnsi="Century Gothic"/>
                <w:sz w:val="22"/>
                <w:szCs w:val="22"/>
              </w:rPr>
            </w:pPr>
            <w:r w:rsidRPr="009612C7">
              <w:rPr>
                <w:rFonts w:ascii="Century Gothic" w:hAnsi="Century Gothic"/>
                <w:sz w:val="22"/>
                <w:szCs w:val="22"/>
              </w:rPr>
              <w:t xml:space="preserve">La imparcialidad como </w:t>
            </w:r>
            <w:r w:rsidR="007C31B7" w:rsidRPr="009612C7">
              <w:rPr>
                <w:rFonts w:ascii="Century Gothic" w:hAnsi="Century Gothic"/>
                <w:sz w:val="22"/>
                <w:szCs w:val="22"/>
              </w:rPr>
              <w:t>garantía</w:t>
            </w:r>
            <w:r w:rsidRPr="009612C7">
              <w:rPr>
                <w:rFonts w:ascii="Century Gothic" w:hAnsi="Century Gothic"/>
                <w:sz w:val="22"/>
                <w:szCs w:val="22"/>
              </w:rPr>
              <w:t xml:space="preserve"> constitucional (Art. 29 C.P.). Tabla de las ocho causales taxativas del Art. 141 CGP: </w:t>
            </w:r>
            <w:r w:rsidR="007C31B7" w:rsidRPr="009612C7">
              <w:rPr>
                <w:rFonts w:ascii="Century Gothic" w:hAnsi="Century Gothic"/>
                <w:sz w:val="22"/>
                <w:szCs w:val="22"/>
              </w:rPr>
              <w:t>interés</w:t>
            </w:r>
            <w:r w:rsidRPr="009612C7">
              <w:rPr>
                <w:rFonts w:ascii="Century Gothic" w:hAnsi="Century Gothic"/>
                <w:sz w:val="22"/>
                <w:szCs w:val="22"/>
              </w:rPr>
              <w:t xml:space="preserve"> en el proceso, parentesco hasta cuarto grado, parentesco con apoderado, conocimiento previo en otra instancia, amistad o enemistad, beneficios recibidos, pleito pendiente, concepto extrajudicial. Tramite del impedimento (Art. 142 CGP): paso a paso. Tramite de la </w:t>
            </w:r>
            <w:r w:rsidR="007C31B7" w:rsidRPr="009612C7">
              <w:rPr>
                <w:rFonts w:ascii="Century Gothic" w:hAnsi="Century Gothic"/>
                <w:sz w:val="22"/>
                <w:szCs w:val="22"/>
              </w:rPr>
              <w:t>recusación</w:t>
            </w:r>
            <w:r w:rsidRPr="009612C7">
              <w:rPr>
                <w:rFonts w:ascii="Century Gothic" w:hAnsi="Century Gothic"/>
                <w:sz w:val="22"/>
                <w:szCs w:val="22"/>
              </w:rPr>
              <w:t xml:space="preserve"> (Art. 143 CGP): diferencias con el impedimento. </w:t>
            </w:r>
          </w:p>
        </w:tc>
      </w:tr>
    </w:tbl>
    <w:p w14:paraId="237CE113" w14:textId="77777777" w:rsidR="009612C7" w:rsidRPr="009612C7" w:rsidRDefault="009612C7" w:rsidP="009612C7">
      <w:pPr>
        <w:spacing w:after="0" w:line="240" w:lineRule="auto"/>
        <w:jc w:val="both"/>
        <w:rPr>
          <w:rFonts w:ascii="Century Gothic" w:hAnsi="Century Gothic"/>
          <w:sz w:val="22"/>
          <w:szCs w:val="22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35"/>
        <w:gridCol w:w="8293"/>
      </w:tblGrid>
      <w:tr w:rsidR="009612C7" w:rsidRPr="009612C7" w14:paraId="356BF35D" w14:textId="77777777" w:rsidTr="009612C7">
        <w:tc>
          <w:tcPr>
            <w:tcW w:w="0" w:type="auto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1A3A5C"/>
            <w:tcMar>
              <w:top w:w="100" w:type="dxa"/>
              <w:left w:w="120" w:type="dxa"/>
              <w:bottom w:w="100" w:type="dxa"/>
              <w:right w:w="120" w:type="dxa"/>
            </w:tcMar>
            <w:hideMark/>
          </w:tcPr>
          <w:p w14:paraId="08D35B71" w14:textId="77777777" w:rsidR="009612C7" w:rsidRPr="009612C7" w:rsidRDefault="009612C7" w:rsidP="009612C7">
            <w:pPr>
              <w:spacing w:after="0" w:line="240" w:lineRule="auto"/>
              <w:jc w:val="both"/>
              <w:rPr>
                <w:rFonts w:ascii="Century Gothic" w:hAnsi="Century Gothic"/>
                <w:sz w:val="22"/>
                <w:szCs w:val="22"/>
              </w:rPr>
            </w:pPr>
            <w:r w:rsidRPr="009612C7">
              <w:rPr>
                <w:rFonts w:ascii="Century Gothic" w:hAnsi="Century Gothic"/>
                <w:b/>
                <w:bCs/>
                <w:sz w:val="22"/>
                <w:szCs w:val="22"/>
              </w:rPr>
              <w:t>C3</w:t>
            </w:r>
          </w:p>
        </w:tc>
        <w:tc>
          <w:tcPr>
            <w:tcW w:w="0" w:type="auto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5F8FC"/>
            <w:tcMar>
              <w:top w:w="100" w:type="dxa"/>
              <w:left w:w="160" w:type="dxa"/>
              <w:bottom w:w="100" w:type="dxa"/>
              <w:right w:w="160" w:type="dxa"/>
            </w:tcMar>
            <w:hideMark/>
          </w:tcPr>
          <w:p w14:paraId="2F67A0BE" w14:textId="77777777" w:rsidR="009612C7" w:rsidRPr="009612C7" w:rsidRDefault="009612C7" w:rsidP="009612C7">
            <w:pPr>
              <w:spacing w:after="0" w:line="240" w:lineRule="auto"/>
              <w:jc w:val="both"/>
              <w:rPr>
                <w:rFonts w:ascii="Century Gothic" w:hAnsi="Century Gothic"/>
                <w:sz w:val="22"/>
                <w:szCs w:val="22"/>
              </w:rPr>
            </w:pPr>
            <w:r w:rsidRPr="009612C7">
              <w:rPr>
                <w:rFonts w:ascii="Century Gothic" w:hAnsi="Century Gothic"/>
                <w:b/>
                <w:bCs/>
                <w:sz w:val="22"/>
                <w:szCs w:val="22"/>
              </w:rPr>
              <w:t>Capacidad para ser Parte y Capacidad Procesal</w:t>
            </w:r>
          </w:p>
          <w:p w14:paraId="358E76AF" w14:textId="6278B1A4" w:rsidR="009612C7" w:rsidRPr="009612C7" w:rsidRDefault="009612C7" w:rsidP="009612C7">
            <w:pPr>
              <w:spacing w:after="0" w:line="240" w:lineRule="auto"/>
              <w:jc w:val="both"/>
              <w:rPr>
                <w:rFonts w:ascii="Century Gothic" w:hAnsi="Century Gothic"/>
                <w:sz w:val="22"/>
                <w:szCs w:val="22"/>
              </w:rPr>
            </w:pPr>
            <w:r w:rsidRPr="009612C7">
              <w:rPr>
                <w:rFonts w:ascii="Century Gothic" w:hAnsi="Century Gothic"/>
                <w:sz w:val="22"/>
                <w:szCs w:val="22"/>
              </w:rPr>
              <w:t xml:space="preserve">Tabla comparativa: capacidad para ser parte (toda persona, natural y juridica) vs. capacidad procesal (mayores de edad no interdictos). </w:t>
            </w:r>
            <w:r w:rsidR="007C31B7" w:rsidRPr="009612C7">
              <w:rPr>
                <w:rFonts w:ascii="Century Gothic" w:hAnsi="Century Gothic"/>
                <w:sz w:val="22"/>
                <w:szCs w:val="22"/>
              </w:rPr>
              <w:t>Analogía</w:t>
            </w:r>
            <w:r w:rsidRPr="009612C7">
              <w:rPr>
                <w:rFonts w:ascii="Century Gothic" w:hAnsi="Century Gothic"/>
                <w:sz w:val="22"/>
                <w:szCs w:val="22"/>
              </w:rPr>
              <w:t xml:space="preserve"> con capacidad de goce y ejercicio del derecho civil. Quienes carecen de capacidad procesal: menores, interdictos, personas </w:t>
            </w:r>
            <w:r w:rsidR="007C31B7" w:rsidRPr="009612C7">
              <w:rPr>
                <w:rFonts w:ascii="Century Gothic" w:hAnsi="Century Gothic"/>
                <w:sz w:val="22"/>
                <w:szCs w:val="22"/>
              </w:rPr>
              <w:t>jurídicas</w:t>
            </w:r>
            <w:r w:rsidRPr="009612C7">
              <w:rPr>
                <w:rFonts w:ascii="Century Gothic" w:hAnsi="Century Gothic"/>
                <w:sz w:val="22"/>
                <w:szCs w:val="22"/>
              </w:rPr>
              <w:t xml:space="preserve">, concordatarios, ausentes, patrimonios </w:t>
            </w:r>
            <w:r w:rsidR="007C31B7" w:rsidRPr="009612C7">
              <w:rPr>
                <w:rFonts w:ascii="Century Gothic" w:hAnsi="Century Gothic"/>
                <w:sz w:val="22"/>
                <w:szCs w:val="22"/>
              </w:rPr>
              <w:t>autónomos</w:t>
            </w:r>
            <w:r w:rsidRPr="009612C7">
              <w:rPr>
                <w:rFonts w:ascii="Century Gothic" w:hAnsi="Century Gothic"/>
                <w:sz w:val="22"/>
                <w:szCs w:val="22"/>
              </w:rPr>
              <w:t xml:space="preserve">. </w:t>
            </w:r>
            <w:r w:rsidR="007C31B7" w:rsidRPr="009612C7">
              <w:rPr>
                <w:rFonts w:ascii="Century Gothic" w:hAnsi="Century Gothic"/>
                <w:sz w:val="22"/>
                <w:szCs w:val="22"/>
              </w:rPr>
              <w:t>Representación</w:t>
            </w:r>
            <w:r w:rsidRPr="009612C7">
              <w:rPr>
                <w:rFonts w:ascii="Century Gothic" w:hAnsi="Century Gothic"/>
                <w:sz w:val="22"/>
                <w:szCs w:val="22"/>
              </w:rPr>
              <w:t xml:space="preserve"> legal vs. </w:t>
            </w:r>
            <w:r w:rsidR="007C31B7" w:rsidRPr="009612C7">
              <w:rPr>
                <w:rFonts w:ascii="Century Gothic" w:hAnsi="Century Gothic"/>
                <w:sz w:val="22"/>
                <w:szCs w:val="22"/>
              </w:rPr>
              <w:t>representación</w:t>
            </w:r>
            <w:r w:rsidRPr="009612C7">
              <w:rPr>
                <w:rFonts w:ascii="Century Gothic" w:hAnsi="Century Gothic"/>
                <w:sz w:val="22"/>
                <w:szCs w:val="22"/>
              </w:rPr>
              <w:t xml:space="preserve"> judicial. La </w:t>
            </w:r>
            <w:r w:rsidR="007C31B7" w:rsidRPr="009612C7">
              <w:rPr>
                <w:rFonts w:ascii="Century Gothic" w:hAnsi="Century Gothic"/>
                <w:sz w:val="22"/>
                <w:szCs w:val="22"/>
              </w:rPr>
              <w:t>legitimación</w:t>
            </w:r>
            <w:r w:rsidRPr="009612C7">
              <w:rPr>
                <w:rFonts w:ascii="Century Gothic" w:hAnsi="Century Gothic"/>
                <w:sz w:val="22"/>
                <w:szCs w:val="22"/>
              </w:rPr>
              <w:t xml:space="preserve"> en la causa como </w:t>
            </w:r>
            <w:r w:rsidR="007C31B7" w:rsidRPr="009612C7">
              <w:rPr>
                <w:rFonts w:ascii="Century Gothic" w:hAnsi="Century Gothic"/>
                <w:sz w:val="22"/>
                <w:szCs w:val="22"/>
              </w:rPr>
              <w:t>condición</w:t>
            </w:r>
            <w:r w:rsidRPr="009612C7">
              <w:rPr>
                <w:rFonts w:ascii="Century Gothic" w:hAnsi="Century Gothic"/>
                <w:sz w:val="22"/>
                <w:szCs w:val="22"/>
              </w:rPr>
              <w:t xml:space="preserve"> distinta (</w:t>
            </w:r>
            <w:r w:rsidR="007C31B7" w:rsidRPr="009612C7">
              <w:rPr>
                <w:rFonts w:ascii="Century Gothic" w:hAnsi="Century Gothic"/>
                <w:sz w:val="22"/>
                <w:szCs w:val="22"/>
              </w:rPr>
              <w:t>condición</w:t>
            </w:r>
            <w:r w:rsidRPr="009612C7">
              <w:rPr>
                <w:rFonts w:ascii="Century Gothic" w:hAnsi="Century Gothic"/>
                <w:sz w:val="22"/>
                <w:szCs w:val="22"/>
              </w:rPr>
              <w:t xml:space="preserve"> de prosperidad, no de validez).</w:t>
            </w:r>
          </w:p>
        </w:tc>
      </w:tr>
    </w:tbl>
    <w:p w14:paraId="0963FDD2" w14:textId="77777777" w:rsidR="009612C7" w:rsidRPr="009612C7" w:rsidRDefault="009612C7" w:rsidP="009612C7">
      <w:pPr>
        <w:spacing w:after="0" w:line="240" w:lineRule="auto"/>
        <w:jc w:val="both"/>
        <w:rPr>
          <w:rFonts w:ascii="Century Gothic" w:hAnsi="Century Gothic"/>
          <w:sz w:val="22"/>
          <w:szCs w:val="22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35"/>
        <w:gridCol w:w="8293"/>
      </w:tblGrid>
      <w:tr w:rsidR="009612C7" w:rsidRPr="009612C7" w14:paraId="720317C7" w14:textId="77777777" w:rsidTr="009612C7">
        <w:tc>
          <w:tcPr>
            <w:tcW w:w="0" w:type="auto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1A3A5C"/>
            <w:tcMar>
              <w:top w:w="100" w:type="dxa"/>
              <w:left w:w="120" w:type="dxa"/>
              <w:bottom w:w="100" w:type="dxa"/>
              <w:right w:w="120" w:type="dxa"/>
            </w:tcMar>
            <w:hideMark/>
          </w:tcPr>
          <w:p w14:paraId="5C0D1C42" w14:textId="77777777" w:rsidR="009612C7" w:rsidRPr="009612C7" w:rsidRDefault="009612C7" w:rsidP="009612C7">
            <w:pPr>
              <w:spacing w:after="0" w:line="240" w:lineRule="auto"/>
              <w:jc w:val="both"/>
              <w:rPr>
                <w:rFonts w:ascii="Century Gothic" w:hAnsi="Century Gothic"/>
                <w:sz w:val="22"/>
                <w:szCs w:val="22"/>
              </w:rPr>
            </w:pPr>
            <w:r w:rsidRPr="009612C7">
              <w:rPr>
                <w:rFonts w:ascii="Century Gothic" w:hAnsi="Century Gothic"/>
                <w:b/>
                <w:bCs/>
                <w:sz w:val="22"/>
                <w:szCs w:val="22"/>
              </w:rPr>
              <w:t>C4</w:t>
            </w:r>
          </w:p>
        </w:tc>
        <w:tc>
          <w:tcPr>
            <w:tcW w:w="0" w:type="auto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5F8FC"/>
            <w:tcMar>
              <w:top w:w="100" w:type="dxa"/>
              <w:left w:w="160" w:type="dxa"/>
              <w:bottom w:w="100" w:type="dxa"/>
              <w:right w:w="160" w:type="dxa"/>
            </w:tcMar>
            <w:hideMark/>
          </w:tcPr>
          <w:p w14:paraId="7E01E7F0" w14:textId="75013B6D" w:rsidR="009612C7" w:rsidRPr="009612C7" w:rsidRDefault="009612C7" w:rsidP="009612C7">
            <w:pPr>
              <w:spacing w:after="0" w:line="240" w:lineRule="auto"/>
              <w:jc w:val="both"/>
              <w:rPr>
                <w:rFonts w:ascii="Century Gothic" w:hAnsi="Century Gothic"/>
                <w:sz w:val="22"/>
                <w:szCs w:val="22"/>
              </w:rPr>
            </w:pPr>
            <w:r w:rsidRPr="009612C7">
              <w:rPr>
                <w:rFonts w:ascii="Century Gothic" w:hAnsi="Century Gothic"/>
                <w:b/>
                <w:bCs/>
                <w:sz w:val="22"/>
                <w:szCs w:val="22"/>
              </w:rPr>
              <w:t xml:space="preserve">El Derecho de </w:t>
            </w:r>
            <w:r w:rsidR="007C31B7" w:rsidRPr="009612C7">
              <w:rPr>
                <w:rFonts w:ascii="Century Gothic" w:hAnsi="Century Gothic"/>
                <w:b/>
                <w:bCs/>
                <w:sz w:val="22"/>
                <w:szCs w:val="22"/>
              </w:rPr>
              <w:t>Postulación</w:t>
            </w:r>
            <w:r w:rsidRPr="009612C7">
              <w:rPr>
                <w:rFonts w:ascii="Century Gothic" w:hAnsi="Century Gothic"/>
                <w:b/>
                <w:bCs/>
                <w:sz w:val="22"/>
                <w:szCs w:val="22"/>
              </w:rPr>
              <w:t>: Los Abogados en el Proceso</w:t>
            </w:r>
          </w:p>
          <w:p w14:paraId="2A2BEBD5" w14:textId="7EDA955D" w:rsidR="009612C7" w:rsidRPr="009612C7" w:rsidRDefault="009612C7" w:rsidP="009612C7">
            <w:pPr>
              <w:spacing w:after="0" w:line="240" w:lineRule="auto"/>
              <w:jc w:val="both"/>
              <w:rPr>
                <w:rFonts w:ascii="Century Gothic" w:hAnsi="Century Gothic"/>
                <w:sz w:val="22"/>
                <w:szCs w:val="22"/>
              </w:rPr>
            </w:pPr>
            <w:r w:rsidRPr="009612C7">
              <w:rPr>
                <w:rFonts w:ascii="Century Gothic" w:hAnsi="Century Gothic"/>
                <w:sz w:val="22"/>
                <w:szCs w:val="22"/>
              </w:rPr>
              <w:t xml:space="preserve">El derecho de </w:t>
            </w:r>
            <w:r w:rsidR="007C31B7" w:rsidRPr="009612C7">
              <w:rPr>
                <w:rFonts w:ascii="Century Gothic" w:hAnsi="Century Gothic"/>
                <w:sz w:val="22"/>
                <w:szCs w:val="22"/>
              </w:rPr>
              <w:t>postulación</w:t>
            </w:r>
            <w:r w:rsidRPr="009612C7">
              <w:rPr>
                <w:rFonts w:ascii="Century Gothic" w:hAnsi="Century Gothic"/>
                <w:sz w:val="22"/>
                <w:szCs w:val="22"/>
              </w:rPr>
              <w:t xml:space="preserve">: exigencia de abogado titulado (Art. 73 CGP). Excepciones: procesos de minima cuantia, tutelas, peticiones. El contrato de mandato judicial: mandante, mandatario, objeto y </w:t>
            </w:r>
            <w:r w:rsidR="007C31B7" w:rsidRPr="009612C7">
              <w:rPr>
                <w:rFonts w:ascii="Century Gothic" w:hAnsi="Century Gothic"/>
                <w:sz w:val="22"/>
                <w:szCs w:val="22"/>
              </w:rPr>
              <w:t>remuneración</w:t>
            </w:r>
            <w:r w:rsidRPr="009612C7">
              <w:rPr>
                <w:rFonts w:ascii="Century Gothic" w:hAnsi="Century Gothic"/>
                <w:sz w:val="22"/>
                <w:szCs w:val="22"/>
              </w:rPr>
              <w:t xml:space="preserve">. Tipos de poder: general, especial y apud acta (verbal en audiencia). El poder </w:t>
            </w:r>
            <w:r w:rsidR="007C31B7" w:rsidRPr="009612C7">
              <w:rPr>
                <w:rFonts w:ascii="Century Gothic" w:hAnsi="Century Gothic"/>
                <w:sz w:val="22"/>
                <w:szCs w:val="22"/>
              </w:rPr>
              <w:t>electrónico</w:t>
            </w:r>
            <w:r w:rsidRPr="009612C7">
              <w:rPr>
                <w:rFonts w:ascii="Century Gothic" w:hAnsi="Century Gothic"/>
                <w:sz w:val="22"/>
                <w:szCs w:val="22"/>
              </w:rPr>
              <w:t xml:space="preserve"> (Decreto 1829/13 / Ley 527/99). Facultades que requieren poder especial expreso: </w:t>
            </w:r>
            <w:r w:rsidR="007C31B7" w:rsidRPr="009612C7">
              <w:rPr>
                <w:rFonts w:ascii="Century Gothic" w:hAnsi="Century Gothic"/>
                <w:sz w:val="22"/>
                <w:szCs w:val="22"/>
              </w:rPr>
              <w:t>transacción</w:t>
            </w:r>
            <w:r w:rsidRPr="009612C7">
              <w:rPr>
                <w:rFonts w:ascii="Century Gothic" w:hAnsi="Century Gothic"/>
                <w:sz w:val="22"/>
                <w:szCs w:val="22"/>
              </w:rPr>
              <w:t>, desistimiento, allanamiento. La agencia oficiosa procesal (Art. 57 CGP).</w:t>
            </w:r>
          </w:p>
        </w:tc>
      </w:tr>
    </w:tbl>
    <w:p w14:paraId="7BB41F7B" w14:textId="77777777" w:rsidR="009612C7" w:rsidRPr="009612C7" w:rsidRDefault="009612C7" w:rsidP="009612C7">
      <w:pPr>
        <w:spacing w:after="0" w:line="240" w:lineRule="auto"/>
        <w:jc w:val="both"/>
        <w:rPr>
          <w:rFonts w:ascii="Century Gothic" w:hAnsi="Century Gothic"/>
          <w:sz w:val="22"/>
          <w:szCs w:val="22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35"/>
        <w:gridCol w:w="8293"/>
      </w:tblGrid>
      <w:tr w:rsidR="009612C7" w:rsidRPr="009612C7" w14:paraId="0AE4A446" w14:textId="77777777" w:rsidTr="009612C7">
        <w:tc>
          <w:tcPr>
            <w:tcW w:w="0" w:type="auto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1A3A5C"/>
            <w:tcMar>
              <w:top w:w="100" w:type="dxa"/>
              <w:left w:w="120" w:type="dxa"/>
              <w:bottom w:w="100" w:type="dxa"/>
              <w:right w:w="120" w:type="dxa"/>
            </w:tcMar>
            <w:hideMark/>
          </w:tcPr>
          <w:p w14:paraId="4828AAFE" w14:textId="77777777" w:rsidR="009612C7" w:rsidRPr="009612C7" w:rsidRDefault="009612C7" w:rsidP="009612C7">
            <w:pPr>
              <w:spacing w:after="0" w:line="240" w:lineRule="auto"/>
              <w:jc w:val="both"/>
              <w:rPr>
                <w:rFonts w:ascii="Century Gothic" w:hAnsi="Century Gothic"/>
                <w:sz w:val="22"/>
                <w:szCs w:val="22"/>
              </w:rPr>
            </w:pPr>
            <w:r w:rsidRPr="009612C7">
              <w:rPr>
                <w:rFonts w:ascii="Century Gothic" w:hAnsi="Century Gothic"/>
                <w:b/>
                <w:bCs/>
                <w:sz w:val="22"/>
                <w:szCs w:val="22"/>
              </w:rPr>
              <w:t>C5</w:t>
            </w:r>
          </w:p>
        </w:tc>
        <w:tc>
          <w:tcPr>
            <w:tcW w:w="0" w:type="auto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5F8FC"/>
            <w:tcMar>
              <w:top w:w="100" w:type="dxa"/>
              <w:left w:w="160" w:type="dxa"/>
              <w:bottom w:w="100" w:type="dxa"/>
              <w:right w:w="160" w:type="dxa"/>
            </w:tcMar>
            <w:hideMark/>
          </w:tcPr>
          <w:p w14:paraId="5B34AF1C" w14:textId="77777777" w:rsidR="009612C7" w:rsidRPr="009612C7" w:rsidRDefault="009612C7" w:rsidP="009612C7">
            <w:pPr>
              <w:spacing w:after="0" w:line="240" w:lineRule="auto"/>
              <w:jc w:val="both"/>
              <w:rPr>
                <w:rFonts w:ascii="Century Gothic" w:hAnsi="Century Gothic"/>
                <w:sz w:val="22"/>
                <w:szCs w:val="22"/>
              </w:rPr>
            </w:pPr>
            <w:r w:rsidRPr="009612C7">
              <w:rPr>
                <w:rFonts w:ascii="Century Gothic" w:hAnsi="Century Gothic"/>
                <w:b/>
                <w:bCs/>
                <w:sz w:val="22"/>
                <w:szCs w:val="22"/>
              </w:rPr>
              <w:t>Litisconsorcio Facultativo y Necesario</w:t>
            </w:r>
          </w:p>
          <w:p w14:paraId="0F2EA10A" w14:textId="0A887209" w:rsidR="009612C7" w:rsidRPr="009612C7" w:rsidRDefault="009612C7" w:rsidP="009612C7">
            <w:pPr>
              <w:spacing w:after="0" w:line="240" w:lineRule="auto"/>
              <w:jc w:val="both"/>
              <w:rPr>
                <w:rFonts w:ascii="Century Gothic" w:hAnsi="Century Gothic"/>
                <w:sz w:val="22"/>
                <w:szCs w:val="22"/>
              </w:rPr>
            </w:pPr>
            <w:r w:rsidRPr="009612C7">
              <w:rPr>
                <w:rFonts w:ascii="Century Gothic" w:hAnsi="Century Gothic"/>
                <w:sz w:val="22"/>
                <w:szCs w:val="22"/>
              </w:rPr>
              <w:t xml:space="preserve">Concepto de litisconsorcio: pluralidad de sujetos en una misma </w:t>
            </w:r>
            <w:r w:rsidR="007C31B7" w:rsidRPr="009612C7">
              <w:rPr>
                <w:rFonts w:ascii="Century Gothic" w:hAnsi="Century Gothic"/>
                <w:sz w:val="22"/>
                <w:szCs w:val="22"/>
              </w:rPr>
              <w:t>posición</w:t>
            </w:r>
            <w:r w:rsidRPr="009612C7">
              <w:rPr>
                <w:rFonts w:ascii="Century Gothic" w:hAnsi="Century Gothic"/>
                <w:sz w:val="22"/>
                <w:szCs w:val="22"/>
              </w:rPr>
              <w:t xml:space="preserve"> procesal. Litisconsorcio facultativo (Art. 61 inc. 1): opcional, cada litisconsorte es independiente. Litisconsorcio necesario (Art. 61 inc. 2): obligatorio, la sentencia solo es </w:t>
            </w:r>
            <w:r w:rsidR="007C31B7" w:rsidRPr="009612C7">
              <w:rPr>
                <w:rFonts w:ascii="Century Gothic" w:hAnsi="Century Gothic"/>
                <w:sz w:val="22"/>
                <w:szCs w:val="22"/>
              </w:rPr>
              <w:t>válida</w:t>
            </w:r>
            <w:r w:rsidRPr="009612C7">
              <w:rPr>
                <w:rFonts w:ascii="Century Gothic" w:hAnsi="Century Gothic"/>
                <w:sz w:val="22"/>
                <w:szCs w:val="22"/>
              </w:rPr>
              <w:t xml:space="preserve"> si estan todos. Tres ejemplos: nulidad de contrato con varios suscriptores, </w:t>
            </w:r>
            <w:r w:rsidR="007C31B7" w:rsidRPr="009612C7">
              <w:rPr>
                <w:rFonts w:ascii="Century Gothic" w:hAnsi="Century Gothic"/>
                <w:sz w:val="22"/>
                <w:szCs w:val="22"/>
              </w:rPr>
              <w:t>partición</w:t>
            </w:r>
            <w:r w:rsidRPr="009612C7">
              <w:rPr>
                <w:rFonts w:ascii="Century Gothic" w:hAnsi="Century Gothic"/>
                <w:sz w:val="22"/>
                <w:szCs w:val="22"/>
              </w:rPr>
              <w:t xml:space="preserve"> de herencia y </w:t>
            </w:r>
            <w:r w:rsidR="007C31B7" w:rsidRPr="009612C7">
              <w:rPr>
                <w:rFonts w:ascii="Century Gothic" w:hAnsi="Century Gothic"/>
                <w:sz w:val="22"/>
                <w:szCs w:val="22"/>
              </w:rPr>
              <w:t>simulación</w:t>
            </w:r>
            <w:r w:rsidRPr="009612C7">
              <w:rPr>
                <w:rFonts w:ascii="Century Gothic" w:hAnsi="Century Gothic"/>
                <w:sz w:val="22"/>
                <w:szCs w:val="22"/>
              </w:rPr>
              <w:t xml:space="preserve"> de contrato. Consecuencias de no integrar el litisconsorcio necesario: </w:t>
            </w:r>
            <w:r w:rsidR="007C31B7" w:rsidRPr="009612C7">
              <w:rPr>
                <w:rFonts w:ascii="Century Gothic" w:hAnsi="Century Gothic"/>
                <w:sz w:val="22"/>
                <w:szCs w:val="22"/>
              </w:rPr>
              <w:t>integración</w:t>
            </w:r>
            <w:r w:rsidRPr="009612C7">
              <w:rPr>
                <w:rFonts w:ascii="Century Gothic" w:hAnsi="Century Gothic"/>
                <w:sz w:val="22"/>
                <w:szCs w:val="22"/>
              </w:rPr>
              <w:t xml:space="preserve"> del contradictorio o </w:t>
            </w:r>
            <w:r w:rsidR="007C31B7" w:rsidRPr="009612C7">
              <w:rPr>
                <w:rFonts w:ascii="Century Gothic" w:hAnsi="Century Gothic"/>
                <w:sz w:val="22"/>
                <w:szCs w:val="22"/>
              </w:rPr>
              <w:t>terminación</w:t>
            </w:r>
            <w:r w:rsidRPr="009612C7">
              <w:rPr>
                <w:rFonts w:ascii="Century Gothic" w:hAnsi="Century Gothic"/>
                <w:sz w:val="22"/>
                <w:szCs w:val="22"/>
              </w:rPr>
              <w:t xml:space="preserve"> del proceso. El litisconsorcio </w:t>
            </w:r>
            <w:r w:rsidR="007C31B7" w:rsidRPr="009612C7">
              <w:rPr>
                <w:rFonts w:ascii="Century Gothic" w:hAnsi="Century Gothic"/>
                <w:sz w:val="22"/>
                <w:szCs w:val="22"/>
              </w:rPr>
              <w:t>cuasi necesario</w:t>
            </w:r>
            <w:r w:rsidRPr="009612C7">
              <w:rPr>
                <w:rFonts w:ascii="Century Gothic" w:hAnsi="Century Gothic"/>
                <w:sz w:val="22"/>
                <w:szCs w:val="22"/>
              </w:rPr>
              <w:t xml:space="preserve">. </w:t>
            </w:r>
          </w:p>
        </w:tc>
      </w:tr>
    </w:tbl>
    <w:p w14:paraId="007EC848" w14:textId="77777777" w:rsidR="009612C7" w:rsidRPr="009612C7" w:rsidRDefault="009612C7" w:rsidP="009612C7">
      <w:pPr>
        <w:spacing w:after="0" w:line="240" w:lineRule="auto"/>
        <w:jc w:val="both"/>
        <w:rPr>
          <w:rFonts w:ascii="Century Gothic" w:hAnsi="Century Gothic"/>
          <w:sz w:val="22"/>
          <w:szCs w:val="22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35"/>
        <w:gridCol w:w="8293"/>
      </w:tblGrid>
      <w:tr w:rsidR="009612C7" w:rsidRPr="009612C7" w14:paraId="060B7FDC" w14:textId="77777777" w:rsidTr="009612C7">
        <w:tc>
          <w:tcPr>
            <w:tcW w:w="0" w:type="auto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1A3A5C"/>
            <w:tcMar>
              <w:top w:w="100" w:type="dxa"/>
              <w:left w:w="120" w:type="dxa"/>
              <w:bottom w:w="100" w:type="dxa"/>
              <w:right w:w="120" w:type="dxa"/>
            </w:tcMar>
            <w:hideMark/>
          </w:tcPr>
          <w:p w14:paraId="1AD62423" w14:textId="77777777" w:rsidR="009612C7" w:rsidRPr="009612C7" w:rsidRDefault="009612C7" w:rsidP="009612C7">
            <w:pPr>
              <w:spacing w:after="0" w:line="240" w:lineRule="auto"/>
              <w:jc w:val="both"/>
              <w:rPr>
                <w:rFonts w:ascii="Century Gothic" w:hAnsi="Century Gothic"/>
                <w:sz w:val="22"/>
                <w:szCs w:val="22"/>
              </w:rPr>
            </w:pPr>
            <w:r w:rsidRPr="009612C7">
              <w:rPr>
                <w:rFonts w:ascii="Century Gothic" w:hAnsi="Century Gothic"/>
                <w:b/>
                <w:bCs/>
                <w:sz w:val="22"/>
                <w:szCs w:val="22"/>
              </w:rPr>
              <w:t>C6</w:t>
            </w:r>
          </w:p>
        </w:tc>
        <w:tc>
          <w:tcPr>
            <w:tcW w:w="0" w:type="auto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5F8FC"/>
            <w:tcMar>
              <w:top w:w="100" w:type="dxa"/>
              <w:left w:w="160" w:type="dxa"/>
              <w:bottom w:w="100" w:type="dxa"/>
              <w:right w:w="160" w:type="dxa"/>
            </w:tcMar>
            <w:hideMark/>
          </w:tcPr>
          <w:p w14:paraId="24350C1D" w14:textId="589339F8" w:rsidR="009612C7" w:rsidRPr="009612C7" w:rsidRDefault="007C31B7" w:rsidP="009612C7">
            <w:pPr>
              <w:spacing w:after="0" w:line="240" w:lineRule="auto"/>
              <w:jc w:val="both"/>
              <w:rPr>
                <w:rFonts w:ascii="Century Gothic" w:hAnsi="Century Gothic"/>
                <w:sz w:val="22"/>
                <w:szCs w:val="22"/>
              </w:rPr>
            </w:pPr>
            <w:r w:rsidRPr="009612C7">
              <w:rPr>
                <w:rFonts w:ascii="Century Gothic" w:hAnsi="Century Gothic"/>
                <w:b/>
                <w:bCs/>
                <w:sz w:val="22"/>
                <w:szCs w:val="22"/>
              </w:rPr>
              <w:t>Intervención</w:t>
            </w:r>
            <w:r w:rsidR="009612C7" w:rsidRPr="009612C7">
              <w:rPr>
                <w:rFonts w:ascii="Century Gothic" w:hAnsi="Century Gothic"/>
                <w:b/>
                <w:bCs/>
                <w:sz w:val="22"/>
                <w:szCs w:val="22"/>
              </w:rPr>
              <w:t xml:space="preserve"> de Terceros en el Proceso</w:t>
            </w:r>
          </w:p>
          <w:p w14:paraId="221E78C2" w14:textId="01133497" w:rsidR="009612C7" w:rsidRPr="009612C7" w:rsidRDefault="009612C7" w:rsidP="009612C7">
            <w:pPr>
              <w:spacing w:after="0" w:line="240" w:lineRule="auto"/>
              <w:jc w:val="both"/>
              <w:rPr>
                <w:rFonts w:ascii="Century Gothic" w:hAnsi="Century Gothic"/>
                <w:sz w:val="22"/>
                <w:szCs w:val="22"/>
              </w:rPr>
            </w:pPr>
            <w:r w:rsidRPr="009612C7">
              <w:rPr>
                <w:rFonts w:ascii="Century Gothic" w:hAnsi="Century Gothic"/>
                <w:sz w:val="22"/>
                <w:szCs w:val="22"/>
              </w:rPr>
              <w:t xml:space="preserve">Tipos de </w:t>
            </w:r>
            <w:r w:rsidR="007C31B7" w:rsidRPr="009612C7">
              <w:rPr>
                <w:rFonts w:ascii="Century Gothic" w:hAnsi="Century Gothic"/>
                <w:sz w:val="22"/>
                <w:szCs w:val="22"/>
              </w:rPr>
              <w:t>intervención</w:t>
            </w:r>
            <w:r w:rsidRPr="009612C7">
              <w:rPr>
                <w:rFonts w:ascii="Century Gothic" w:hAnsi="Century Gothic"/>
                <w:sz w:val="22"/>
                <w:szCs w:val="22"/>
              </w:rPr>
              <w:t xml:space="preserve"> de terceros en el CGP. El coadyuvante (Art. 71): </w:t>
            </w:r>
            <w:r w:rsidR="007C31B7" w:rsidRPr="009612C7">
              <w:rPr>
                <w:rFonts w:ascii="Century Gothic" w:hAnsi="Century Gothic"/>
                <w:sz w:val="22"/>
                <w:szCs w:val="22"/>
              </w:rPr>
              <w:t>interés</w:t>
            </w:r>
            <w:r w:rsidRPr="009612C7">
              <w:rPr>
                <w:rFonts w:ascii="Century Gothic" w:hAnsi="Century Gothic"/>
                <w:sz w:val="22"/>
                <w:szCs w:val="22"/>
              </w:rPr>
              <w:t xml:space="preserve"> en que una parte gane, </w:t>
            </w:r>
            <w:r w:rsidR="007C31B7" w:rsidRPr="009612C7">
              <w:rPr>
                <w:rFonts w:ascii="Century Gothic" w:hAnsi="Century Gothic"/>
                <w:sz w:val="22"/>
                <w:szCs w:val="22"/>
              </w:rPr>
              <w:t>límites</w:t>
            </w:r>
            <w:r w:rsidRPr="009612C7">
              <w:rPr>
                <w:rFonts w:ascii="Century Gothic" w:hAnsi="Century Gothic"/>
                <w:sz w:val="22"/>
                <w:szCs w:val="22"/>
              </w:rPr>
              <w:t xml:space="preserve"> de su </w:t>
            </w:r>
            <w:r w:rsidR="007C31B7" w:rsidRPr="009612C7">
              <w:rPr>
                <w:rFonts w:ascii="Century Gothic" w:hAnsi="Century Gothic"/>
                <w:sz w:val="22"/>
                <w:szCs w:val="22"/>
              </w:rPr>
              <w:t>actuación</w:t>
            </w:r>
            <w:r w:rsidRPr="009612C7">
              <w:rPr>
                <w:rFonts w:ascii="Century Gothic" w:hAnsi="Century Gothic"/>
                <w:sz w:val="22"/>
                <w:szCs w:val="22"/>
              </w:rPr>
              <w:t xml:space="preserve">. El llamamiento en </w:t>
            </w:r>
            <w:r w:rsidR="007C31B7" w:rsidRPr="009612C7">
              <w:rPr>
                <w:rFonts w:ascii="Century Gothic" w:hAnsi="Century Gothic"/>
                <w:sz w:val="22"/>
                <w:szCs w:val="22"/>
              </w:rPr>
              <w:t>garantía</w:t>
            </w:r>
            <w:r w:rsidRPr="009612C7">
              <w:rPr>
                <w:rFonts w:ascii="Century Gothic" w:hAnsi="Century Gothic"/>
                <w:sz w:val="22"/>
                <w:szCs w:val="22"/>
              </w:rPr>
              <w:t xml:space="preserve"> (Art. 64): </w:t>
            </w:r>
            <w:r w:rsidR="007C31B7" w:rsidRPr="009612C7">
              <w:rPr>
                <w:rFonts w:ascii="Century Gothic" w:hAnsi="Century Gothic"/>
                <w:sz w:val="22"/>
                <w:szCs w:val="22"/>
              </w:rPr>
              <w:t>acción</w:t>
            </w:r>
            <w:r w:rsidRPr="009612C7">
              <w:rPr>
                <w:rFonts w:ascii="Century Gothic" w:hAnsi="Century Gothic"/>
                <w:sz w:val="22"/>
                <w:szCs w:val="22"/>
              </w:rPr>
              <w:t xml:space="preserve"> de regreso procesal, ejemplos: empresa + aseguradora, contratista + subcontratista, </w:t>
            </w:r>
            <w:r w:rsidR="007C31B7" w:rsidRPr="009612C7">
              <w:rPr>
                <w:rFonts w:ascii="Century Gothic" w:hAnsi="Century Gothic"/>
                <w:sz w:val="22"/>
                <w:szCs w:val="22"/>
              </w:rPr>
              <w:t>evicción</w:t>
            </w:r>
            <w:r w:rsidRPr="009612C7">
              <w:rPr>
                <w:rFonts w:ascii="Century Gothic" w:hAnsi="Century Gothic"/>
                <w:sz w:val="22"/>
                <w:szCs w:val="22"/>
              </w:rPr>
              <w:t xml:space="preserve">. El llamamiento de oficio para litisconsorte necesario (Art. 72). El tercero excluyente (Art. 63): </w:t>
            </w:r>
            <w:r w:rsidRPr="009612C7">
              <w:rPr>
                <w:rFonts w:ascii="Century Gothic" w:hAnsi="Century Gothic"/>
                <w:sz w:val="22"/>
                <w:szCs w:val="22"/>
              </w:rPr>
              <w:lastRenderedPageBreak/>
              <w:t xml:space="preserve">alega derecho propio sobre el objeto del proceso. La </w:t>
            </w:r>
            <w:r w:rsidR="007C31B7" w:rsidRPr="009612C7">
              <w:rPr>
                <w:rFonts w:ascii="Century Gothic" w:hAnsi="Century Gothic"/>
                <w:sz w:val="22"/>
                <w:szCs w:val="22"/>
              </w:rPr>
              <w:t>sucesión</w:t>
            </w:r>
            <w:r w:rsidRPr="009612C7">
              <w:rPr>
                <w:rFonts w:ascii="Century Gothic" w:hAnsi="Century Gothic"/>
                <w:sz w:val="22"/>
                <w:szCs w:val="22"/>
              </w:rPr>
              <w:t xml:space="preserve"> procesal por muerte de una parte (Art. 68 CGP).</w:t>
            </w:r>
          </w:p>
        </w:tc>
      </w:tr>
    </w:tbl>
    <w:p w14:paraId="0234E0CC" w14:textId="77777777" w:rsidR="009612C7" w:rsidRPr="009612C7" w:rsidRDefault="009612C7" w:rsidP="009612C7">
      <w:pPr>
        <w:spacing w:after="0" w:line="240" w:lineRule="auto"/>
        <w:jc w:val="both"/>
        <w:rPr>
          <w:rFonts w:ascii="Century Gothic" w:hAnsi="Century Gothic"/>
          <w:sz w:val="22"/>
          <w:szCs w:val="22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35"/>
        <w:gridCol w:w="8293"/>
      </w:tblGrid>
      <w:tr w:rsidR="009612C7" w:rsidRPr="009612C7" w14:paraId="1AEB6B6D" w14:textId="77777777" w:rsidTr="009612C7">
        <w:tc>
          <w:tcPr>
            <w:tcW w:w="0" w:type="auto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1A3A5C"/>
            <w:tcMar>
              <w:top w:w="100" w:type="dxa"/>
              <w:left w:w="120" w:type="dxa"/>
              <w:bottom w:w="100" w:type="dxa"/>
              <w:right w:w="120" w:type="dxa"/>
            </w:tcMar>
            <w:hideMark/>
          </w:tcPr>
          <w:p w14:paraId="41A0A0FA" w14:textId="77777777" w:rsidR="009612C7" w:rsidRPr="009612C7" w:rsidRDefault="009612C7" w:rsidP="009612C7">
            <w:pPr>
              <w:spacing w:after="0" w:line="240" w:lineRule="auto"/>
              <w:jc w:val="both"/>
              <w:rPr>
                <w:rFonts w:ascii="Century Gothic" w:hAnsi="Century Gothic"/>
                <w:sz w:val="22"/>
                <w:szCs w:val="22"/>
              </w:rPr>
            </w:pPr>
            <w:r w:rsidRPr="009612C7">
              <w:rPr>
                <w:rFonts w:ascii="Century Gothic" w:hAnsi="Century Gothic"/>
                <w:b/>
                <w:bCs/>
                <w:sz w:val="22"/>
                <w:szCs w:val="22"/>
              </w:rPr>
              <w:t>C7</w:t>
            </w:r>
          </w:p>
        </w:tc>
        <w:tc>
          <w:tcPr>
            <w:tcW w:w="0" w:type="auto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5F8FC"/>
            <w:tcMar>
              <w:top w:w="100" w:type="dxa"/>
              <w:left w:w="160" w:type="dxa"/>
              <w:bottom w:w="100" w:type="dxa"/>
              <w:right w:w="160" w:type="dxa"/>
            </w:tcMar>
            <w:hideMark/>
          </w:tcPr>
          <w:p w14:paraId="4A4C751F" w14:textId="77777777" w:rsidR="009612C7" w:rsidRPr="009612C7" w:rsidRDefault="009612C7" w:rsidP="009612C7">
            <w:pPr>
              <w:spacing w:after="0" w:line="240" w:lineRule="auto"/>
              <w:jc w:val="both"/>
              <w:rPr>
                <w:rFonts w:ascii="Century Gothic" w:hAnsi="Century Gothic"/>
                <w:sz w:val="22"/>
                <w:szCs w:val="22"/>
              </w:rPr>
            </w:pPr>
            <w:r w:rsidRPr="009612C7">
              <w:rPr>
                <w:rFonts w:ascii="Century Gothic" w:hAnsi="Century Gothic"/>
                <w:b/>
                <w:bCs/>
                <w:sz w:val="22"/>
                <w:szCs w:val="22"/>
              </w:rPr>
              <w:t>Los Auxiliares de la Justicia</w:t>
            </w:r>
          </w:p>
          <w:p w14:paraId="7235F456" w14:textId="148ABECE" w:rsidR="009612C7" w:rsidRPr="009612C7" w:rsidRDefault="009612C7" w:rsidP="009612C7">
            <w:pPr>
              <w:spacing w:after="0" w:line="240" w:lineRule="auto"/>
              <w:jc w:val="both"/>
              <w:rPr>
                <w:rFonts w:ascii="Century Gothic" w:hAnsi="Century Gothic"/>
                <w:sz w:val="22"/>
                <w:szCs w:val="22"/>
              </w:rPr>
            </w:pPr>
            <w:r w:rsidRPr="009612C7">
              <w:rPr>
                <w:rFonts w:ascii="Century Gothic" w:hAnsi="Century Gothic"/>
                <w:sz w:val="22"/>
                <w:szCs w:val="22"/>
              </w:rPr>
              <w:t xml:space="preserve">Concepto y </w:t>
            </w:r>
            <w:r w:rsidR="007C31B7" w:rsidRPr="009612C7">
              <w:rPr>
                <w:rFonts w:ascii="Century Gothic" w:hAnsi="Century Gothic"/>
                <w:sz w:val="22"/>
                <w:szCs w:val="22"/>
              </w:rPr>
              <w:t>régimen</w:t>
            </w:r>
            <w:r w:rsidRPr="009612C7">
              <w:rPr>
                <w:rFonts w:ascii="Century Gothic" w:hAnsi="Century Gothic"/>
                <w:sz w:val="22"/>
                <w:szCs w:val="22"/>
              </w:rPr>
              <w:t xml:space="preserve"> </w:t>
            </w:r>
            <w:r w:rsidR="007C31B7" w:rsidRPr="009612C7">
              <w:rPr>
                <w:rFonts w:ascii="Century Gothic" w:hAnsi="Century Gothic"/>
                <w:sz w:val="22"/>
                <w:szCs w:val="22"/>
              </w:rPr>
              <w:t>jurídico</w:t>
            </w:r>
            <w:r w:rsidRPr="009612C7">
              <w:rPr>
                <w:rFonts w:ascii="Century Gothic" w:hAnsi="Century Gothic"/>
                <w:sz w:val="22"/>
                <w:szCs w:val="22"/>
              </w:rPr>
              <w:t xml:space="preserve"> </w:t>
            </w:r>
            <w:r w:rsidR="007C31B7" w:rsidRPr="009612C7">
              <w:rPr>
                <w:rFonts w:ascii="Century Gothic" w:hAnsi="Century Gothic"/>
                <w:sz w:val="22"/>
                <w:szCs w:val="22"/>
              </w:rPr>
              <w:t>común</w:t>
            </w:r>
            <w:r w:rsidRPr="009612C7">
              <w:rPr>
                <w:rFonts w:ascii="Century Gothic" w:hAnsi="Century Gothic"/>
                <w:sz w:val="22"/>
                <w:szCs w:val="22"/>
              </w:rPr>
              <w:t xml:space="preserve"> (Arts. 47-52 CGP): </w:t>
            </w:r>
            <w:r w:rsidR="007C31B7" w:rsidRPr="009612C7">
              <w:rPr>
                <w:rFonts w:ascii="Century Gothic" w:hAnsi="Century Gothic"/>
                <w:sz w:val="22"/>
                <w:szCs w:val="22"/>
              </w:rPr>
              <w:t>designación</w:t>
            </w:r>
            <w:r w:rsidRPr="009612C7">
              <w:rPr>
                <w:rFonts w:ascii="Century Gothic" w:hAnsi="Century Gothic"/>
                <w:sz w:val="22"/>
                <w:szCs w:val="22"/>
              </w:rPr>
              <w:t xml:space="preserve">, </w:t>
            </w:r>
            <w:r w:rsidR="007C31B7" w:rsidRPr="009612C7">
              <w:rPr>
                <w:rFonts w:ascii="Century Gothic" w:hAnsi="Century Gothic"/>
                <w:sz w:val="22"/>
                <w:szCs w:val="22"/>
              </w:rPr>
              <w:t>posesión</w:t>
            </w:r>
            <w:r w:rsidRPr="009612C7">
              <w:rPr>
                <w:rFonts w:ascii="Century Gothic" w:hAnsi="Century Gothic"/>
                <w:sz w:val="22"/>
                <w:szCs w:val="22"/>
              </w:rPr>
              <w:t xml:space="preserve">, responsabilidad y </w:t>
            </w:r>
            <w:r w:rsidR="007C31B7" w:rsidRPr="009612C7">
              <w:rPr>
                <w:rFonts w:ascii="Century Gothic" w:hAnsi="Century Gothic"/>
                <w:sz w:val="22"/>
                <w:szCs w:val="22"/>
              </w:rPr>
              <w:t>remuneración</w:t>
            </w:r>
            <w:r w:rsidRPr="009612C7">
              <w:rPr>
                <w:rFonts w:ascii="Century Gothic" w:hAnsi="Century Gothic"/>
                <w:sz w:val="22"/>
                <w:szCs w:val="22"/>
              </w:rPr>
              <w:t xml:space="preserve">. El perito: </w:t>
            </w:r>
            <w:r w:rsidR="007C31B7" w:rsidRPr="009612C7">
              <w:rPr>
                <w:rFonts w:ascii="Century Gothic" w:hAnsi="Century Gothic"/>
                <w:sz w:val="22"/>
                <w:szCs w:val="22"/>
              </w:rPr>
              <w:t>designación</w:t>
            </w:r>
            <w:r w:rsidRPr="009612C7">
              <w:rPr>
                <w:rFonts w:ascii="Century Gothic" w:hAnsi="Century Gothic"/>
                <w:sz w:val="22"/>
                <w:szCs w:val="22"/>
              </w:rPr>
              <w:t xml:space="preserve">, perito oficial vs. perito de parte, </w:t>
            </w:r>
            <w:r w:rsidR="007C31B7" w:rsidRPr="009612C7">
              <w:rPr>
                <w:rFonts w:ascii="Century Gothic" w:hAnsi="Century Gothic"/>
                <w:sz w:val="22"/>
                <w:szCs w:val="22"/>
              </w:rPr>
              <w:t>contradicción</w:t>
            </w:r>
            <w:r w:rsidRPr="009612C7">
              <w:rPr>
                <w:rFonts w:ascii="Century Gothic" w:hAnsi="Century Gothic"/>
                <w:sz w:val="22"/>
                <w:szCs w:val="22"/>
              </w:rPr>
              <w:t xml:space="preserve"> del dictamen, responsabilidad civil y penal (Art. 442 Cod. Penal). El secuestre: custodio del bien cautelado, obligaciones y responsabilidad. El curador ad </w:t>
            </w:r>
            <w:r w:rsidR="007C31B7" w:rsidRPr="009612C7">
              <w:rPr>
                <w:rFonts w:ascii="Century Gothic" w:hAnsi="Century Gothic"/>
                <w:sz w:val="22"/>
                <w:szCs w:val="22"/>
              </w:rPr>
              <w:t>liten</w:t>
            </w:r>
            <w:r w:rsidRPr="009612C7">
              <w:rPr>
                <w:rFonts w:ascii="Century Gothic" w:hAnsi="Century Gothic"/>
                <w:sz w:val="22"/>
                <w:szCs w:val="22"/>
              </w:rPr>
              <w:t xml:space="preserve">: representante de ausentes e incapaces sin representante. El </w:t>
            </w:r>
            <w:r w:rsidR="007C31B7" w:rsidRPr="009612C7">
              <w:rPr>
                <w:rFonts w:ascii="Century Gothic" w:hAnsi="Century Gothic"/>
                <w:sz w:val="22"/>
                <w:szCs w:val="22"/>
              </w:rPr>
              <w:t>partido</w:t>
            </w:r>
            <w:r w:rsidRPr="009612C7">
              <w:rPr>
                <w:rFonts w:ascii="Century Gothic" w:hAnsi="Century Gothic"/>
                <w:sz w:val="22"/>
                <w:szCs w:val="22"/>
              </w:rPr>
              <w:t xml:space="preserve"> en sucesiones. El liquidador en insolvencia. </w:t>
            </w:r>
            <w:r w:rsidR="007C31B7" w:rsidRPr="009612C7">
              <w:rPr>
                <w:rFonts w:ascii="Century Gothic" w:hAnsi="Century Gothic"/>
                <w:sz w:val="22"/>
                <w:szCs w:val="22"/>
              </w:rPr>
              <w:t>Intérpretes</w:t>
            </w:r>
            <w:r w:rsidRPr="009612C7">
              <w:rPr>
                <w:rFonts w:ascii="Century Gothic" w:hAnsi="Century Gothic"/>
                <w:sz w:val="22"/>
                <w:szCs w:val="22"/>
              </w:rPr>
              <w:t xml:space="preserve"> y traductores. </w:t>
            </w:r>
          </w:p>
        </w:tc>
      </w:tr>
    </w:tbl>
    <w:p w14:paraId="5484E287" w14:textId="77777777" w:rsidR="009612C7" w:rsidRPr="009612C7" w:rsidRDefault="009612C7" w:rsidP="009612C7">
      <w:pPr>
        <w:spacing w:after="0" w:line="240" w:lineRule="auto"/>
        <w:jc w:val="both"/>
        <w:rPr>
          <w:rFonts w:ascii="Century Gothic" w:hAnsi="Century Gothic"/>
          <w:sz w:val="22"/>
          <w:szCs w:val="22"/>
        </w:rPr>
      </w:pPr>
    </w:p>
    <w:p w14:paraId="08F33C26" w14:textId="77777777" w:rsidR="009612C7" w:rsidRPr="009612C7" w:rsidRDefault="009612C7" w:rsidP="009612C7">
      <w:pPr>
        <w:spacing w:after="0" w:line="240" w:lineRule="auto"/>
        <w:jc w:val="both"/>
        <w:rPr>
          <w:rFonts w:ascii="Century Gothic" w:hAnsi="Century Gothic"/>
          <w:sz w:val="22"/>
          <w:szCs w:val="22"/>
        </w:rPr>
      </w:pPr>
    </w:p>
    <w:p w14:paraId="76572EE1" w14:textId="77777777" w:rsidR="009612C7" w:rsidRPr="009612C7" w:rsidRDefault="009612C7" w:rsidP="009612C7">
      <w:pPr>
        <w:spacing w:after="0" w:line="240" w:lineRule="auto"/>
        <w:jc w:val="both"/>
        <w:rPr>
          <w:rFonts w:ascii="Century Gothic" w:hAnsi="Century Gothic"/>
          <w:sz w:val="22"/>
          <w:szCs w:val="22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71"/>
      </w:tblGrid>
      <w:tr w:rsidR="009612C7" w:rsidRPr="009612C7" w14:paraId="03972A0F" w14:textId="77777777" w:rsidTr="009612C7">
        <w:tc>
          <w:tcPr>
            <w:tcW w:w="0" w:type="auto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7A4E1A"/>
            <w:tcMar>
              <w:top w:w="140" w:type="dxa"/>
              <w:left w:w="220" w:type="dxa"/>
              <w:bottom w:w="140" w:type="dxa"/>
              <w:right w:w="220" w:type="dxa"/>
            </w:tcMar>
            <w:hideMark/>
          </w:tcPr>
          <w:p w14:paraId="09AE6CF8" w14:textId="77777777" w:rsidR="009612C7" w:rsidRPr="009612C7" w:rsidRDefault="009612C7" w:rsidP="009612C7">
            <w:pPr>
              <w:spacing w:after="0" w:line="240" w:lineRule="auto"/>
              <w:jc w:val="both"/>
              <w:rPr>
                <w:rFonts w:ascii="Century Gothic" w:hAnsi="Century Gothic"/>
                <w:sz w:val="22"/>
                <w:szCs w:val="22"/>
              </w:rPr>
            </w:pPr>
            <w:r w:rsidRPr="009612C7">
              <w:rPr>
                <w:rFonts w:ascii="Century Gothic" w:hAnsi="Century Gothic"/>
                <w:b/>
                <w:bCs/>
                <w:sz w:val="22"/>
                <w:szCs w:val="22"/>
              </w:rPr>
              <w:t>MODULO 4  ACTOS PROCESALES Y PRINCIPIOS</w:t>
            </w:r>
          </w:p>
        </w:tc>
      </w:tr>
    </w:tbl>
    <w:p w14:paraId="59352B42" w14:textId="77777777" w:rsidR="009612C7" w:rsidRPr="009612C7" w:rsidRDefault="009612C7" w:rsidP="009612C7">
      <w:pPr>
        <w:spacing w:after="0" w:line="240" w:lineRule="auto"/>
        <w:jc w:val="both"/>
        <w:rPr>
          <w:rFonts w:ascii="Century Gothic" w:hAnsi="Century Gothic"/>
          <w:sz w:val="22"/>
          <w:szCs w:val="22"/>
        </w:rPr>
      </w:pPr>
    </w:p>
    <w:p w14:paraId="67C96A73" w14:textId="6386CD6B" w:rsidR="009612C7" w:rsidRPr="009612C7" w:rsidRDefault="009612C7" w:rsidP="009612C7">
      <w:pPr>
        <w:spacing w:after="0" w:line="240" w:lineRule="auto"/>
        <w:jc w:val="both"/>
        <w:rPr>
          <w:rFonts w:ascii="Century Gothic" w:hAnsi="Century Gothic"/>
          <w:sz w:val="22"/>
          <w:szCs w:val="22"/>
        </w:rPr>
      </w:pPr>
      <w:r w:rsidRPr="009612C7">
        <w:rPr>
          <w:rFonts w:ascii="Century Gothic" w:hAnsi="Century Gothic"/>
          <w:b/>
          <w:bCs/>
          <w:sz w:val="22"/>
          <w:szCs w:val="22"/>
        </w:rPr>
        <w:t xml:space="preserve">Enfoque: </w:t>
      </w:r>
      <w:r w:rsidRPr="009612C7">
        <w:rPr>
          <w:rFonts w:ascii="Century Gothic" w:hAnsi="Century Gothic"/>
          <w:i/>
          <w:iCs/>
          <w:sz w:val="22"/>
          <w:szCs w:val="22"/>
        </w:rPr>
        <w:t xml:space="preserve">"La </w:t>
      </w:r>
      <w:r w:rsidR="007C31B7" w:rsidRPr="009612C7">
        <w:rPr>
          <w:rFonts w:ascii="Century Gothic" w:hAnsi="Century Gothic"/>
          <w:i/>
          <w:iCs/>
          <w:sz w:val="22"/>
          <w:szCs w:val="22"/>
        </w:rPr>
        <w:t>Mecánica</w:t>
      </w:r>
      <w:r w:rsidRPr="009612C7">
        <w:rPr>
          <w:rFonts w:ascii="Century Gothic" w:hAnsi="Century Gothic"/>
          <w:i/>
          <w:iCs/>
          <w:sz w:val="22"/>
          <w:szCs w:val="22"/>
        </w:rPr>
        <w:t xml:space="preserve"> del Proceso"</w:t>
      </w:r>
    </w:p>
    <w:p w14:paraId="3505B810" w14:textId="3791DC88" w:rsidR="009612C7" w:rsidRPr="009612C7" w:rsidRDefault="009612C7" w:rsidP="009612C7">
      <w:pPr>
        <w:spacing w:after="0" w:line="240" w:lineRule="auto"/>
        <w:jc w:val="both"/>
        <w:rPr>
          <w:rFonts w:ascii="Century Gothic" w:hAnsi="Century Gothic"/>
          <w:sz w:val="22"/>
          <w:szCs w:val="22"/>
        </w:rPr>
      </w:pPr>
      <w:r w:rsidRPr="009612C7">
        <w:rPr>
          <w:rFonts w:ascii="Century Gothic" w:hAnsi="Century Gothic"/>
          <w:sz w:val="22"/>
          <w:szCs w:val="22"/>
        </w:rPr>
        <w:t xml:space="preserve">Este </w:t>
      </w:r>
      <w:r w:rsidR="007C31B7" w:rsidRPr="009612C7">
        <w:rPr>
          <w:rFonts w:ascii="Century Gothic" w:hAnsi="Century Gothic"/>
          <w:sz w:val="22"/>
          <w:szCs w:val="22"/>
        </w:rPr>
        <w:t>módulo</w:t>
      </w:r>
      <w:r w:rsidRPr="009612C7">
        <w:rPr>
          <w:rFonts w:ascii="Century Gothic" w:hAnsi="Century Gothic"/>
          <w:sz w:val="22"/>
          <w:szCs w:val="22"/>
        </w:rPr>
        <w:t xml:space="preserve"> aborda la </w:t>
      </w:r>
      <w:r w:rsidR="007C31B7" w:rsidRPr="009612C7">
        <w:rPr>
          <w:rFonts w:ascii="Century Gothic" w:hAnsi="Century Gothic"/>
          <w:sz w:val="22"/>
          <w:szCs w:val="22"/>
        </w:rPr>
        <w:t>mecánica</w:t>
      </w:r>
      <w:r w:rsidRPr="009612C7">
        <w:rPr>
          <w:rFonts w:ascii="Century Gothic" w:hAnsi="Century Gothic"/>
          <w:sz w:val="22"/>
          <w:szCs w:val="22"/>
        </w:rPr>
        <w:t xml:space="preserve"> interna del proceso civil: los principios constitucionales que lo orientan, la estructura y los efectos de los actos procesales individuales, las notificaciones como </w:t>
      </w:r>
      <w:r w:rsidR="007C31B7" w:rsidRPr="009612C7">
        <w:rPr>
          <w:rFonts w:ascii="Century Gothic" w:hAnsi="Century Gothic"/>
          <w:sz w:val="22"/>
          <w:szCs w:val="22"/>
        </w:rPr>
        <w:t>garantía</w:t>
      </w:r>
      <w:r w:rsidRPr="009612C7">
        <w:rPr>
          <w:rFonts w:ascii="Century Gothic" w:hAnsi="Century Gothic"/>
          <w:sz w:val="22"/>
          <w:szCs w:val="22"/>
        </w:rPr>
        <w:t xml:space="preserve"> material del derecho de </w:t>
      </w:r>
      <w:r w:rsidR="007C31B7" w:rsidRPr="009612C7">
        <w:rPr>
          <w:rFonts w:ascii="Century Gothic" w:hAnsi="Century Gothic"/>
          <w:sz w:val="22"/>
          <w:szCs w:val="22"/>
        </w:rPr>
        <w:t>contradicción</w:t>
      </w:r>
      <w:r w:rsidRPr="009612C7">
        <w:rPr>
          <w:rFonts w:ascii="Century Gothic" w:hAnsi="Century Gothic"/>
          <w:sz w:val="22"/>
          <w:szCs w:val="22"/>
        </w:rPr>
        <w:t xml:space="preserve">, y los plazos procesales con sus consecuencias ante el incumplimiento. Se desarrolla la estructura completa de la demanda y las opciones </w:t>
      </w:r>
      <w:r w:rsidR="007C31B7" w:rsidRPr="009612C7">
        <w:rPr>
          <w:rFonts w:ascii="Century Gothic" w:hAnsi="Century Gothic"/>
          <w:sz w:val="22"/>
          <w:szCs w:val="22"/>
        </w:rPr>
        <w:t>estratégicas</w:t>
      </w:r>
      <w:r w:rsidRPr="009612C7">
        <w:rPr>
          <w:rFonts w:ascii="Century Gothic" w:hAnsi="Century Gothic"/>
          <w:sz w:val="22"/>
          <w:szCs w:val="22"/>
        </w:rPr>
        <w:t xml:space="preserve"> del demandado al contestarla.</w:t>
      </w:r>
    </w:p>
    <w:p w14:paraId="37730213" w14:textId="77777777" w:rsidR="009612C7" w:rsidRPr="009612C7" w:rsidRDefault="009612C7" w:rsidP="009612C7">
      <w:pPr>
        <w:spacing w:after="0" w:line="240" w:lineRule="auto"/>
        <w:jc w:val="both"/>
        <w:rPr>
          <w:rFonts w:ascii="Century Gothic" w:hAnsi="Century Gothic"/>
          <w:sz w:val="22"/>
          <w:szCs w:val="22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35"/>
        <w:gridCol w:w="8293"/>
      </w:tblGrid>
      <w:tr w:rsidR="009612C7" w:rsidRPr="009612C7" w14:paraId="2F3C84C5" w14:textId="77777777" w:rsidTr="009612C7">
        <w:tc>
          <w:tcPr>
            <w:tcW w:w="0" w:type="auto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1A3A5C"/>
            <w:tcMar>
              <w:top w:w="100" w:type="dxa"/>
              <w:left w:w="120" w:type="dxa"/>
              <w:bottom w:w="100" w:type="dxa"/>
              <w:right w:w="120" w:type="dxa"/>
            </w:tcMar>
            <w:hideMark/>
          </w:tcPr>
          <w:p w14:paraId="52235896" w14:textId="77777777" w:rsidR="009612C7" w:rsidRPr="009612C7" w:rsidRDefault="009612C7" w:rsidP="009612C7">
            <w:pPr>
              <w:spacing w:after="0" w:line="240" w:lineRule="auto"/>
              <w:jc w:val="both"/>
              <w:rPr>
                <w:rFonts w:ascii="Century Gothic" w:hAnsi="Century Gothic"/>
                <w:sz w:val="22"/>
                <w:szCs w:val="22"/>
              </w:rPr>
            </w:pPr>
            <w:r w:rsidRPr="009612C7">
              <w:rPr>
                <w:rFonts w:ascii="Century Gothic" w:hAnsi="Century Gothic"/>
                <w:b/>
                <w:bCs/>
                <w:sz w:val="22"/>
                <w:szCs w:val="22"/>
              </w:rPr>
              <w:t>C1</w:t>
            </w:r>
          </w:p>
        </w:tc>
        <w:tc>
          <w:tcPr>
            <w:tcW w:w="0" w:type="auto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5F8FC"/>
            <w:tcMar>
              <w:top w:w="100" w:type="dxa"/>
              <w:left w:w="160" w:type="dxa"/>
              <w:bottom w:w="100" w:type="dxa"/>
              <w:right w:w="160" w:type="dxa"/>
            </w:tcMar>
            <w:hideMark/>
          </w:tcPr>
          <w:p w14:paraId="310A497C" w14:textId="77777777" w:rsidR="009612C7" w:rsidRPr="009612C7" w:rsidRDefault="009612C7" w:rsidP="009612C7">
            <w:pPr>
              <w:spacing w:after="0" w:line="240" w:lineRule="auto"/>
              <w:jc w:val="both"/>
              <w:rPr>
                <w:rFonts w:ascii="Century Gothic" w:hAnsi="Century Gothic"/>
                <w:sz w:val="22"/>
                <w:szCs w:val="22"/>
              </w:rPr>
            </w:pPr>
            <w:r w:rsidRPr="009612C7">
              <w:rPr>
                <w:rFonts w:ascii="Century Gothic" w:hAnsi="Century Gothic"/>
                <w:b/>
                <w:bCs/>
                <w:sz w:val="22"/>
                <w:szCs w:val="22"/>
              </w:rPr>
              <w:t>Principios del Debido Proceso (Art. 29 C.P.)</w:t>
            </w:r>
          </w:p>
          <w:p w14:paraId="72B1EF76" w14:textId="29C6B3F6" w:rsidR="009612C7" w:rsidRPr="009612C7" w:rsidRDefault="009612C7" w:rsidP="009612C7">
            <w:pPr>
              <w:spacing w:after="0" w:line="240" w:lineRule="auto"/>
              <w:jc w:val="both"/>
              <w:rPr>
                <w:rFonts w:ascii="Century Gothic" w:hAnsi="Century Gothic"/>
                <w:sz w:val="22"/>
                <w:szCs w:val="22"/>
              </w:rPr>
            </w:pPr>
            <w:r w:rsidRPr="009612C7">
              <w:rPr>
                <w:rFonts w:ascii="Century Gothic" w:hAnsi="Century Gothic"/>
                <w:sz w:val="22"/>
                <w:szCs w:val="22"/>
              </w:rPr>
              <w:t xml:space="preserve">El articulo 29 C.P. como gran paraguas procesal. Los siete componentes del debido proceso: legalidad procesal (Art. 12 CGP), juez natural, favorabilidad, </w:t>
            </w:r>
            <w:r w:rsidR="007C31B7" w:rsidRPr="009612C7">
              <w:rPr>
                <w:rFonts w:ascii="Century Gothic" w:hAnsi="Century Gothic"/>
                <w:sz w:val="22"/>
                <w:szCs w:val="22"/>
              </w:rPr>
              <w:t>presunción</w:t>
            </w:r>
            <w:r w:rsidRPr="009612C7">
              <w:rPr>
                <w:rFonts w:ascii="Century Gothic" w:hAnsi="Century Gothic"/>
                <w:sz w:val="22"/>
                <w:szCs w:val="22"/>
              </w:rPr>
              <w:t xml:space="preserve"> de inocencia y su </w:t>
            </w:r>
            <w:r w:rsidR="007C31B7" w:rsidRPr="009612C7">
              <w:rPr>
                <w:rFonts w:ascii="Century Gothic" w:hAnsi="Century Gothic"/>
                <w:sz w:val="22"/>
                <w:szCs w:val="22"/>
              </w:rPr>
              <w:t>analogía</w:t>
            </w:r>
            <w:r w:rsidRPr="009612C7">
              <w:rPr>
                <w:rFonts w:ascii="Century Gothic" w:hAnsi="Century Gothic"/>
                <w:sz w:val="22"/>
                <w:szCs w:val="22"/>
              </w:rPr>
              <w:t xml:space="preserve"> civil, defensa y asistencia de abogado, doble instancia (Art. 31 C.P.) y non bis in </w:t>
            </w:r>
            <w:r w:rsidR="007C31B7" w:rsidRPr="009612C7">
              <w:rPr>
                <w:rFonts w:ascii="Century Gothic" w:hAnsi="Century Gothic"/>
                <w:sz w:val="22"/>
                <w:szCs w:val="22"/>
              </w:rPr>
              <w:t>ídem</w:t>
            </w:r>
            <w:r w:rsidRPr="009612C7">
              <w:rPr>
                <w:rFonts w:ascii="Century Gothic" w:hAnsi="Century Gothic"/>
                <w:sz w:val="22"/>
                <w:szCs w:val="22"/>
              </w:rPr>
              <w:t xml:space="preserve"> (cosa juzgada). </w:t>
            </w:r>
            <w:r w:rsidR="007C31B7" w:rsidRPr="009612C7">
              <w:rPr>
                <w:rFonts w:ascii="Century Gothic" w:hAnsi="Century Gothic"/>
                <w:sz w:val="22"/>
                <w:szCs w:val="22"/>
              </w:rPr>
              <w:t>Aplicación</w:t>
            </w:r>
            <w:r w:rsidRPr="009612C7">
              <w:rPr>
                <w:rFonts w:ascii="Century Gothic" w:hAnsi="Century Gothic"/>
                <w:sz w:val="22"/>
                <w:szCs w:val="22"/>
              </w:rPr>
              <w:t xml:space="preserve"> de cada principio al proceso civil con su norma </w:t>
            </w:r>
            <w:r w:rsidR="007C31B7" w:rsidRPr="009612C7">
              <w:rPr>
                <w:rFonts w:ascii="Century Gothic" w:hAnsi="Century Gothic"/>
                <w:sz w:val="22"/>
                <w:szCs w:val="22"/>
              </w:rPr>
              <w:t>específica</w:t>
            </w:r>
            <w:r w:rsidRPr="009612C7">
              <w:rPr>
                <w:rFonts w:ascii="Century Gothic" w:hAnsi="Century Gothic"/>
                <w:sz w:val="22"/>
                <w:szCs w:val="22"/>
              </w:rPr>
              <w:t xml:space="preserve"> en el CGP. </w:t>
            </w:r>
          </w:p>
        </w:tc>
      </w:tr>
    </w:tbl>
    <w:p w14:paraId="3FBE39A1" w14:textId="77777777" w:rsidR="009612C7" w:rsidRPr="009612C7" w:rsidRDefault="009612C7" w:rsidP="009612C7">
      <w:pPr>
        <w:spacing w:after="0" w:line="240" w:lineRule="auto"/>
        <w:jc w:val="both"/>
        <w:rPr>
          <w:rFonts w:ascii="Century Gothic" w:hAnsi="Century Gothic"/>
          <w:sz w:val="22"/>
          <w:szCs w:val="22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35"/>
        <w:gridCol w:w="8293"/>
      </w:tblGrid>
      <w:tr w:rsidR="009612C7" w:rsidRPr="009612C7" w14:paraId="3726B79E" w14:textId="77777777" w:rsidTr="009612C7">
        <w:tc>
          <w:tcPr>
            <w:tcW w:w="0" w:type="auto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1A3A5C"/>
            <w:tcMar>
              <w:top w:w="100" w:type="dxa"/>
              <w:left w:w="120" w:type="dxa"/>
              <w:bottom w:w="100" w:type="dxa"/>
              <w:right w:w="120" w:type="dxa"/>
            </w:tcMar>
            <w:hideMark/>
          </w:tcPr>
          <w:p w14:paraId="7FB5BAF0" w14:textId="77777777" w:rsidR="009612C7" w:rsidRPr="009612C7" w:rsidRDefault="009612C7" w:rsidP="009612C7">
            <w:pPr>
              <w:spacing w:after="0" w:line="240" w:lineRule="auto"/>
              <w:jc w:val="both"/>
              <w:rPr>
                <w:rFonts w:ascii="Century Gothic" w:hAnsi="Century Gothic"/>
                <w:sz w:val="22"/>
                <w:szCs w:val="22"/>
              </w:rPr>
            </w:pPr>
            <w:r w:rsidRPr="009612C7">
              <w:rPr>
                <w:rFonts w:ascii="Century Gothic" w:hAnsi="Century Gothic"/>
                <w:b/>
                <w:bCs/>
                <w:sz w:val="22"/>
                <w:szCs w:val="22"/>
              </w:rPr>
              <w:t>C2</w:t>
            </w:r>
          </w:p>
        </w:tc>
        <w:tc>
          <w:tcPr>
            <w:tcW w:w="0" w:type="auto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5F8FC"/>
            <w:tcMar>
              <w:top w:w="100" w:type="dxa"/>
              <w:left w:w="160" w:type="dxa"/>
              <w:bottom w:w="100" w:type="dxa"/>
              <w:right w:w="160" w:type="dxa"/>
            </w:tcMar>
            <w:hideMark/>
          </w:tcPr>
          <w:p w14:paraId="79D18724" w14:textId="77777777" w:rsidR="009612C7" w:rsidRPr="009612C7" w:rsidRDefault="009612C7" w:rsidP="009612C7">
            <w:pPr>
              <w:spacing w:after="0" w:line="240" w:lineRule="auto"/>
              <w:jc w:val="both"/>
              <w:rPr>
                <w:rFonts w:ascii="Century Gothic" w:hAnsi="Century Gothic"/>
                <w:sz w:val="22"/>
                <w:szCs w:val="22"/>
              </w:rPr>
            </w:pPr>
            <w:r w:rsidRPr="009612C7">
              <w:rPr>
                <w:rFonts w:ascii="Century Gothic" w:hAnsi="Century Gothic"/>
                <w:b/>
                <w:bCs/>
                <w:sz w:val="22"/>
                <w:szCs w:val="22"/>
              </w:rPr>
              <w:t>Principio de Oralidad y Publicidad</w:t>
            </w:r>
          </w:p>
          <w:p w14:paraId="763A56F4" w14:textId="476B7694" w:rsidR="009612C7" w:rsidRPr="009612C7" w:rsidRDefault="009612C7" w:rsidP="009612C7">
            <w:pPr>
              <w:spacing w:after="0" w:line="240" w:lineRule="auto"/>
              <w:jc w:val="both"/>
              <w:rPr>
                <w:rFonts w:ascii="Century Gothic" w:hAnsi="Century Gothic"/>
                <w:sz w:val="22"/>
                <w:szCs w:val="22"/>
              </w:rPr>
            </w:pPr>
            <w:r w:rsidRPr="009612C7">
              <w:rPr>
                <w:rFonts w:ascii="Century Gothic" w:hAnsi="Century Gothic"/>
                <w:sz w:val="22"/>
                <w:szCs w:val="22"/>
              </w:rPr>
              <w:t xml:space="preserve">El cambio de paradigma: del proceso escrito y secreto (CPC 1970) al proceso oral y </w:t>
            </w:r>
            <w:r w:rsidR="007C31B7" w:rsidRPr="009612C7">
              <w:rPr>
                <w:rFonts w:ascii="Century Gothic" w:hAnsi="Century Gothic"/>
                <w:sz w:val="22"/>
                <w:szCs w:val="22"/>
              </w:rPr>
              <w:t>público</w:t>
            </w:r>
            <w:r w:rsidRPr="009612C7">
              <w:rPr>
                <w:rFonts w:ascii="Century Gothic" w:hAnsi="Century Gothic"/>
                <w:sz w:val="22"/>
                <w:szCs w:val="22"/>
              </w:rPr>
              <w:t xml:space="preserve"> (CGP 2012). Tabla comparativa: proceso escrito anterior vs. proceso oral CGP. La </w:t>
            </w:r>
            <w:r w:rsidR="007C31B7" w:rsidRPr="009612C7">
              <w:rPr>
                <w:rFonts w:ascii="Century Gothic" w:hAnsi="Century Gothic"/>
                <w:sz w:val="22"/>
                <w:szCs w:val="22"/>
              </w:rPr>
              <w:t>inmediación</w:t>
            </w:r>
            <w:r w:rsidRPr="009612C7">
              <w:rPr>
                <w:rFonts w:ascii="Century Gothic" w:hAnsi="Century Gothic"/>
                <w:sz w:val="22"/>
                <w:szCs w:val="22"/>
              </w:rPr>
              <w:t xml:space="preserve"> obligatoria del juez en audiencias (Art. 107 CGP). La </w:t>
            </w:r>
            <w:r w:rsidR="007C31B7" w:rsidRPr="009612C7">
              <w:rPr>
                <w:rFonts w:ascii="Century Gothic" w:hAnsi="Century Gothic"/>
                <w:sz w:val="22"/>
                <w:szCs w:val="22"/>
              </w:rPr>
              <w:t>concentración</w:t>
            </w:r>
            <w:r w:rsidRPr="009612C7">
              <w:rPr>
                <w:rFonts w:ascii="Century Gothic" w:hAnsi="Century Gothic"/>
                <w:sz w:val="22"/>
                <w:szCs w:val="22"/>
              </w:rPr>
              <w:t xml:space="preserve">: la justicia en dos audiencias. Las dos audiencias del proceso verbal: inicial (Art. 372 CGP) y de </w:t>
            </w:r>
            <w:r w:rsidR="007C31B7" w:rsidRPr="009612C7">
              <w:rPr>
                <w:rFonts w:ascii="Century Gothic" w:hAnsi="Century Gothic"/>
                <w:sz w:val="22"/>
                <w:szCs w:val="22"/>
              </w:rPr>
              <w:t>instrucción</w:t>
            </w:r>
            <w:r w:rsidRPr="009612C7">
              <w:rPr>
                <w:rFonts w:ascii="Century Gothic" w:hAnsi="Century Gothic"/>
                <w:sz w:val="22"/>
                <w:szCs w:val="22"/>
              </w:rPr>
              <w:t xml:space="preserve"> y juzgamiento (Art. 373 CGP). El principio de publicidad (Art. 228 C.P.). El plan de justicia digital y el expediente </w:t>
            </w:r>
            <w:r w:rsidR="007C31B7" w:rsidRPr="009612C7">
              <w:rPr>
                <w:rFonts w:ascii="Century Gothic" w:hAnsi="Century Gothic"/>
                <w:sz w:val="22"/>
                <w:szCs w:val="22"/>
              </w:rPr>
              <w:t>electrónico</w:t>
            </w:r>
            <w:r w:rsidRPr="009612C7">
              <w:rPr>
                <w:rFonts w:ascii="Century Gothic" w:hAnsi="Century Gothic"/>
                <w:sz w:val="22"/>
                <w:szCs w:val="22"/>
              </w:rPr>
              <w:t xml:space="preserve"> (Ley 2213/22).</w:t>
            </w:r>
          </w:p>
        </w:tc>
      </w:tr>
    </w:tbl>
    <w:p w14:paraId="635EEE4E" w14:textId="77777777" w:rsidR="009612C7" w:rsidRPr="009612C7" w:rsidRDefault="009612C7" w:rsidP="009612C7">
      <w:pPr>
        <w:spacing w:after="0" w:line="240" w:lineRule="auto"/>
        <w:jc w:val="both"/>
        <w:rPr>
          <w:rFonts w:ascii="Century Gothic" w:hAnsi="Century Gothic"/>
          <w:sz w:val="22"/>
          <w:szCs w:val="22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35"/>
        <w:gridCol w:w="8293"/>
      </w:tblGrid>
      <w:tr w:rsidR="009612C7" w:rsidRPr="009612C7" w14:paraId="35CBE559" w14:textId="77777777" w:rsidTr="009612C7">
        <w:tc>
          <w:tcPr>
            <w:tcW w:w="0" w:type="auto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1A3A5C"/>
            <w:tcMar>
              <w:top w:w="100" w:type="dxa"/>
              <w:left w:w="120" w:type="dxa"/>
              <w:bottom w:w="100" w:type="dxa"/>
              <w:right w:w="120" w:type="dxa"/>
            </w:tcMar>
            <w:hideMark/>
          </w:tcPr>
          <w:p w14:paraId="4BE9123B" w14:textId="77777777" w:rsidR="009612C7" w:rsidRPr="009612C7" w:rsidRDefault="009612C7" w:rsidP="009612C7">
            <w:pPr>
              <w:spacing w:after="0" w:line="240" w:lineRule="auto"/>
              <w:jc w:val="both"/>
              <w:rPr>
                <w:rFonts w:ascii="Century Gothic" w:hAnsi="Century Gothic"/>
                <w:sz w:val="22"/>
                <w:szCs w:val="22"/>
              </w:rPr>
            </w:pPr>
            <w:r w:rsidRPr="009612C7">
              <w:rPr>
                <w:rFonts w:ascii="Century Gothic" w:hAnsi="Century Gothic"/>
                <w:b/>
                <w:bCs/>
                <w:sz w:val="22"/>
                <w:szCs w:val="22"/>
              </w:rPr>
              <w:t>C3</w:t>
            </w:r>
          </w:p>
        </w:tc>
        <w:tc>
          <w:tcPr>
            <w:tcW w:w="0" w:type="auto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5F8FC"/>
            <w:tcMar>
              <w:top w:w="100" w:type="dxa"/>
              <w:left w:w="160" w:type="dxa"/>
              <w:bottom w:w="100" w:type="dxa"/>
              <w:right w:w="160" w:type="dxa"/>
            </w:tcMar>
            <w:hideMark/>
          </w:tcPr>
          <w:p w14:paraId="476D50DA" w14:textId="77777777" w:rsidR="009612C7" w:rsidRPr="009612C7" w:rsidRDefault="009612C7" w:rsidP="009612C7">
            <w:pPr>
              <w:spacing w:after="0" w:line="240" w:lineRule="auto"/>
              <w:jc w:val="both"/>
              <w:rPr>
                <w:rFonts w:ascii="Century Gothic" w:hAnsi="Century Gothic"/>
                <w:sz w:val="22"/>
                <w:szCs w:val="22"/>
              </w:rPr>
            </w:pPr>
            <w:r w:rsidRPr="009612C7">
              <w:rPr>
                <w:rFonts w:ascii="Century Gothic" w:hAnsi="Century Gothic"/>
                <w:b/>
                <w:bCs/>
                <w:sz w:val="22"/>
                <w:szCs w:val="22"/>
              </w:rPr>
              <w:t>Los Actos Procesales: Requisitos de Validez</w:t>
            </w:r>
          </w:p>
          <w:p w14:paraId="47C398DB" w14:textId="6D0FB280" w:rsidR="009612C7" w:rsidRPr="009612C7" w:rsidRDefault="009612C7" w:rsidP="009612C7">
            <w:pPr>
              <w:spacing w:after="0" w:line="240" w:lineRule="auto"/>
              <w:jc w:val="both"/>
              <w:rPr>
                <w:rFonts w:ascii="Century Gothic" w:hAnsi="Century Gothic"/>
                <w:sz w:val="22"/>
                <w:szCs w:val="22"/>
              </w:rPr>
            </w:pPr>
            <w:r w:rsidRPr="009612C7">
              <w:rPr>
                <w:rFonts w:ascii="Century Gothic" w:hAnsi="Century Gothic"/>
                <w:sz w:val="22"/>
                <w:szCs w:val="22"/>
              </w:rPr>
              <w:lastRenderedPageBreak/>
              <w:t xml:space="preserve">Concepto de acto procesal y </w:t>
            </w:r>
            <w:r w:rsidR="007C31B7" w:rsidRPr="009612C7">
              <w:rPr>
                <w:rFonts w:ascii="Century Gothic" w:hAnsi="Century Gothic"/>
                <w:sz w:val="22"/>
                <w:szCs w:val="22"/>
              </w:rPr>
              <w:t>clasificación</w:t>
            </w:r>
            <w:r w:rsidRPr="009612C7">
              <w:rPr>
                <w:rFonts w:ascii="Century Gothic" w:hAnsi="Century Gothic"/>
                <w:sz w:val="22"/>
                <w:szCs w:val="22"/>
              </w:rPr>
              <w:t xml:space="preserve">: actos del juez (autos y sentencias), actos de las partes (demanda, </w:t>
            </w:r>
            <w:r w:rsidR="007C31B7" w:rsidRPr="009612C7">
              <w:rPr>
                <w:rFonts w:ascii="Century Gothic" w:hAnsi="Century Gothic"/>
                <w:sz w:val="22"/>
                <w:szCs w:val="22"/>
              </w:rPr>
              <w:t>contestación</w:t>
            </w:r>
            <w:r w:rsidRPr="009612C7">
              <w:rPr>
                <w:rFonts w:ascii="Century Gothic" w:hAnsi="Century Gothic"/>
                <w:sz w:val="22"/>
                <w:szCs w:val="22"/>
              </w:rPr>
              <w:t xml:space="preserve">, recursos) y actos de terceros. Existencia vs. validez: diferencia y consecuencias </w:t>
            </w:r>
            <w:r w:rsidR="007C31B7" w:rsidRPr="009612C7">
              <w:rPr>
                <w:rFonts w:ascii="Century Gothic" w:hAnsi="Century Gothic"/>
                <w:sz w:val="22"/>
                <w:szCs w:val="22"/>
              </w:rPr>
              <w:t>prácticas</w:t>
            </w:r>
            <w:r w:rsidRPr="009612C7">
              <w:rPr>
                <w:rFonts w:ascii="Century Gothic" w:hAnsi="Century Gothic"/>
                <w:sz w:val="22"/>
                <w:szCs w:val="22"/>
              </w:rPr>
              <w:t xml:space="preserve">. Los tres requisitos de validez: voluntad libre, forma prescrita y tiempo (termino procesal). Las nulidades procesales (Arts. 133-138 CGP): </w:t>
            </w:r>
            <w:r w:rsidR="007C31B7" w:rsidRPr="009612C7">
              <w:rPr>
                <w:rFonts w:ascii="Century Gothic" w:hAnsi="Century Gothic"/>
                <w:sz w:val="22"/>
                <w:szCs w:val="22"/>
              </w:rPr>
              <w:t>insanables</w:t>
            </w:r>
            <w:r w:rsidRPr="009612C7">
              <w:rPr>
                <w:rFonts w:ascii="Century Gothic" w:hAnsi="Century Gothic"/>
                <w:sz w:val="22"/>
                <w:szCs w:val="22"/>
              </w:rPr>
              <w:t xml:space="preserve"> vs. </w:t>
            </w:r>
            <w:r w:rsidR="007C31B7" w:rsidRPr="009612C7">
              <w:rPr>
                <w:rFonts w:ascii="Century Gothic" w:hAnsi="Century Gothic"/>
                <w:sz w:val="22"/>
                <w:szCs w:val="22"/>
              </w:rPr>
              <w:t>sanables</w:t>
            </w:r>
            <w:r w:rsidRPr="009612C7">
              <w:rPr>
                <w:rFonts w:ascii="Century Gothic" w:hAnsi="Century Gothic"/>
                <w:sz w:val="22"/>
                <w:szCs w:val="22"/>
              </w:rPr>
              <w:t>, principio de especificidad y principio de trascendencia. El saneamiento (Art. 132 CGP) como alternativa a la nulidad.</w:t>
            </w:r>
          </w:p>
        </w:tc>
      </w:tr>
    </w:tbl>
    <w:p w14:paraId="6A2A4E5D" w14:textId="77777777" w:rsidR="009612C7" w:rsidRPr="009612C7" w:rsidRDefault="009612C7" w:rsidP="009612C7">
      <w:pPr>
        <w:spacing w:after="0" w:line="240" w:lineRule="auto"/>
        <w:jc w:val="both"/>
        <w:rPr>
          <w:rFonts w:ascii="Century Gothic" w:hAnsi="Century Gothic"/>
          <w:sz w:val="22"/>
          <w:szCs w:val="22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35"/>
        <w:gridCol w:w="8293"/>
      </w:tblGrid>
      <w:tr w:rsidR="009612C7" w:rsidRPr="009612C7" w14:paraId="35D8EDBE" w14:textId="77777777" w:rsidTr="009612C7">
        <w:tc>
          <w:tcPr>
            <w:tcW w:w="0" w:type="auto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1A3A5C"/>
            <w:tcMar>
              <w:top w:w="100" w:type="dxa"/>
              <w:left w:w="120" w:type="dxa"/>
              <w:bottom w:w="100" w:type="dxa"/>
              <w:right w:w="120" w:type="dxa"/>
            </w:tcMar>
            <w:hideMark/>
          </w:tcPr>
          <w:p w14:paraId="740D271D" w14:textId="77777777" w:rsidR="009612C7" w:rsidRPr="009612C7" w:rsidRDefault="009612C7" w:rsidP="009612C7">
            <w:pPr>
              <w:spacing w:after="0" w:line="240" w:lineRule="auto"/>
              <w:jc w:val="both"/>
              <w:rPr>
                <w:rFonts w:ascii="Century Gothic" w:hAnsi="Century Gothic"/>
                <w:sz w:val="22"/>
                <w:szCs w:val="22"/>
              </w:rPr>
            </w:pPr>
            <w:r w:rsidRPr="009612C7">
              <w:rPr>
                <w:rFonts w:ascii="Century Gothic" w:hAnsi="Century Gothic"/>
                <w:b/>
                <w:bCs/>
                <w:sz w:val="22"/>
                <w:szCs w:val="22"/>
              </w:rPr>
              <w:t>C4</w:t>
            </w:r>
          </w:p>
        </w:tc>
        <w:tc>
          <w:tcPr>
            <w:tcW w:w="0" w:type="auto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5F8FC"/>
            <w:tcMar>
              <w:top w:w="100" w:type="dxa"/>
              <w:left w:w="160" w:type="dxa"/>
              <w:bottom w:w="100" w:type="dxa"/>
              <w:right w:w="160" w:type="dxa"/>
            </w:tcMar>
            <w:hideMark/>
          </w:tcPr>
          <w:p w14:paraId="37A281DD" w14:textId="3DB4D940" w:rsidR="009612C7" w:rsidRPr="009612C7" w:rsidRDefault="009612C7" w:rsidP="009612C7">
            <w:pPr>
              <w:spacing w:after="0" w:line="240" w:lineRule="auto"/>
              <w:jc w:val="both"/>
              <w:rPr>
                <w:rFonts w:ascii="Century Gothic" w:hAnsi="Century Gothic"/>
                <w:sz w:val="22"/>
                <w:szCs w:val="22"/>
              </w:rPr>
            </w:pPr>
            <w:r w:rsidRPr="009612C7">
              <w:rPr>
                <w:rFonts w:ascii="Century Gothic" w:hAnsi="Century Gothic"/>
                <w:b/>
                <w:bCs/>
                <w:sz w:val="22"/>
                <w:szCs w:val="22"/>
              </w:rPr>
              <w:t xml:space="preserve">La Demanda y su </w:t>
            </w:r>
            <w:r w:rsidR="007C31B7" w:rsidRPr="009612C7">
              <w:rPr>
                <w:rFonts w:ascii="Century Gothic" w:hAnsi="Century Gothic"/>
                <w:b/>
                <w:bCs/>
                <w:sz w:val="22"/>
                <w:szCs w:val="22"/>
              </w:rPr>
              <w:t>Admisión</w:t>
            </w:r>
          </w:p>
          <w:p w14:paraId="705CDEB6" w14:textId="58FC4FFB" w:rsidR="009612C7" w:rsidRPr="009612C7" w:rsidRDefault="009612C7" w:rsidP="009612C7">
            <w:pPr>
              <w:spacing w:after="0" w:line="240" w:lineRule="auto"/>
              <w:jc w:val="both"/>
              <w:rPr>
                <w:rFonts w:ascii="Century Gothic" w:hAnsi="Century Gothic"/>
                <w:sz w:val="22"/>
                <w:szCs w:val="22"/>
              </w:rPr>
            </w:pPr>
            <w:r w:rsidRPr="009612C7">
              <w:rPr>
                <w:rFonts w:ascii="Century Gothic" w:hAnsi="Century Gothic"/>
                <w:sz w:val="22"/>
                <w:szCs w:val="22"/>
              </w:rPr>
              <w:t xml:space="preserve">La demanda como acto procesal fundante. Tabla de los diez requisitos del Art. 82 CGP con consecuencia de su ausencia. Los hechos: claridad, precision y </w:t>
            </w:r>
            <w:r w:rsidR="007C31B7" w:rsidRPr="009612C7">
              <w:rPr>
                <w:rFonts w:ascii="Century Gothic" w:hAnsi="Century Gothic"/>
                <w:sz w:val="22"/>
                <w:szCs w:val="22"/>
              </w:rPr>
              <w:t>numeración</w:t>
            </w:r>
            <w:r w:rsidRPr="009612C7">
              <w:rPr>
                <w:rFonts w:ascii="Century Gothic" w:hAnsi="Century Gothic"/>
                <w:sz w:val="22"/>
                <w:szCs w:val="22"/>
              </w:rPr>
              <w:t xml:space="preserve">. Las pretensiones: claridad, </w:t>
            </w:r>
            <w:r w:rsidR="007C31B7" w:rsidRPr="009612C7">
              <w:rPr>
                <w:rFonts w:ascii="Century Gothic" w:hAnsi="Century Gothic"/>
                <w:sz w:val="22"/>
                <w:szCs w:val="22"/>
              </w:rPr>
              <w:t>determinación</w:t>
            </w:r>
            <w:r w:rsidRPr="009612C7">
              <w:rPr>
                <w:rFonts w:ascii="Century Gothic" w:hAnsi="Century Gothic"/>
                <w:sz w:val="22"/>
                <w:szCs w:val="22"/>
              </w:rPr>
              <w:t xml:space="preserve"> e imperatividad. Los fundamentos de derecho. La peticion de pruebas. Los tres destinos: auto admisorio, auto </w:t>
            </w:r>
            <w:r w:rsidR="007C31B7" w:rsidRPr="009612C7">
              <w:rPr>
                <w:rFonts w:ascii="Century Gothic" w:hAnsi="Century Gothic"/>
                <w:sz w:val="22"/>
                <w:szCs w:val="22"/>
              </w:rPr>
              <w:t>admisorio</w:t>
            </w:r>
            <w:r w:rsidRPr="009612C7">
              <w:rPr>
                <w:rFonts w:ascii="Century Gothic" w:hAnsi="Century Gothic"/>
                <w:sz w:val="22"/>
                <w:szCs w:val="22"/>
              </w:rPr>
              <w:t xml:space="preserve"> (5 dias para corregir) y auto de rechazo. Diferencia entre </w:t>
            </w:r>
            <w:r w:rsidR="007C31B7" w:rsidRPr="009612C7">
              <w:rPr>
                <w:rFonts w:ascii="Century Gothic" w:hAnsi="Century Gothic"/>
                <w:sz w:val="22"/>
                <w:szCs w:val="22"/>
              </w:rPr>
              <w:t>inadmisión</w:t>
            </w:r>
            <w:r w:rsidRPr="009612C7">
              <w:rPr>
                <w:rFonts w:ascii="Century Gothic" w:hAnsi="Century Gothic"/>
                <w:sz w:val="22"/>
                <w:szCs w:val="22"/>
              </w:rPr>
              <w:t xml:space="preserve"> y rechazo. La reforma de la demanda (Art. 93 CGP).</w:t>
            </w:r>
          </w:p>
        </w:tc>
      </w:tr>
    </w:tbl>
    <w:p w14:paraId="5E257527" w14:textId="77777777" w:rsidR="009612C7" w:rsidRPr="009612C7" w:rsidRDefault="009612C7" w:rsidP="009612C7">
      <w:pPr>
        <w:spacing w:after="0" w:line="240" w:lineRule="auto"/>
        <w:jc w:val="both"/>
        <w:rPr>
          <w:rFonts w:ascii="Century Gothic" w:hAnsi="Century Gothic"/>
          <w:sz w:val="22"/>
          <w:szCs w:val="22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35"/>
        <w:gridCol w:w="8293"/>
      </w:tblGrid>
      <w:tr w:rsidR="009612C7" w:rsidRPr="009612C7" w14:paraId="634F9AE1" w14:textId="77777777" w:rsidTr="009612C7">
        <w:tc>
          <w:tcPr>
            <w:tcW w:w="0" w:type="auto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1A3A5C"/>
            <w:tcMar>
              <w:top w:w="100" w:type="dxa"/>
              <w:left w:w="120" w:type="dxa"/>
              <w:bottom w:w="100" w:type="dxa"/>
              <w:right w:w="120" w:type="dxa"/>
            </w:tcMar>
            <w:hideMark/>
          </w:tcPr>
          <w:p w14:paraId="5E0C3EEB" w14:textId="77777777" w:rsidR="009612C7" w:rsidRPr="009612C7" w:rsidRDefault="009612C7" w:rsidP="009612C7">
            <w:pPr>
              <w:spacing w:after="0" w:line="240" w:lineRule="auto"/>
              <w:jc w:val="both"/>
              <w:rPr>
                <w:rFonts w:ascii="Century Gothic" w:hAnsi="Century Gothic"/>
                <w:sz w:val="22"/>
                <w:szCs w:val="22"/>
              </w:rPr>
            </w:pPr>
            <w:r w:rsidRPr="009612C7">
              <w:rPr>
                <w:rFonts w:ascii="Century Gothic" w:hAnsi="Century Gothic"/>
                <w:b/>
                <w:bCs/>
                <w:sz w:val="22"/>
                <w:szCs w:val="22"/>
              </w:rPr>
              <w:t>C5</w:t>
            </w:r>
          </w:p>
        </w:tc>
        <w:tc>
          <w:tcPr>
            <w:tcW w:w="0" w:type="auto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5F8FC"/>
            <w:tcMar>
              <w:top w:w="100" w:type="dxa"/>
              <w:left w:w="160" w:type="dxa"/>
              <w:bottom w:w="100" w:type="dxa"/>
              <w:right w:w="160" w:type="dxa"/>
            </w:tcMar>
            <w:hideMark/>
          </w:tcPr>
          <w:p w14:paraId="16D6B0D7" w14:textId="72AC475F" w:rsidR="009612C7" w:rsidRPr="009612C7" w:rsidRDefault="009612C7" w:rsidP="009612C7">
            <w:pPr>
              <w:spacing w:after="0" w:line="240" w:lineRule="auto"/>
              <w:jc w:val="both"/>
              <w:rPr>
                <w:rFonts w:ascii="Century Gothic" w:hAnsi="Century Gothic"/>
                <w:sz w:val="22"/>
                <w:szCs w:val="22"/>
              </w:rPr>
            </w:pPr>
            <w:r w:rsidRPr="009612C7">
              <w:rPr>
                <w:rFonts w:ascii="Century Gothic" w:hAnsi="Century Gothic"/>
                <w:b/>
                <w:bCs/>
                <w:sz w:val="22"/>
                <w:szCs w:val="22"/>
              </w:rPr>
              <w:t xml:space="preserve">Actitudes del Demandado: La </w:t>
            </w:r>
            <w:r w:rsidR="007C31B7" w:rsidRPr="009612C7">
              <w:rPr>
                <w:rFonts w:ascii="Century Gothic" w:hAnsi="Century Gothic"/>
                <w:b/>
                <w:bCs/>
                <w:sz w:val="22"/>
                <w:szCs w:val="22"/>
              </w:rPr>
              <w:t>Contestación</w:t>
            </w:r>
          </w:p>
          <w:p w14:paraId="454AD80F" w14:textId="307FD772" w:rsidR="009612C7" w:rsidRPr="009612C7" w:rsidRDefault="009612C7" w:rsidP="009612C7">
            <w:pPr>
              <w:spacing w:after="0" w:line="240" w:lineRule="auto"/>
              <w:jc w:val="both"/>
              <w:rPr>
                <w:rFonts w:ascii="Century Gothic" w:hAnsi="Century Gothic"/>
                <w:sz w:val="22"/>
                <w:szCs w:val="22"/>
              </w:rPr>
            </w:pPr>
            <w:r w:rsidRPr="009612C7">
              <w:rPr>
                <w:rFonts w:ascii="Century Gothic" w:hAnsi="Century Gothic"/>
                <w:sz w:val="22"/>
                <w:szCs w:val="22"/>
              </w:rPr>
              <w:t xml:space="preserve">Las cuatro actitudes del demandado: silencio (consecuencias en el proceso civil vs. laboral), </w:t>
            </w:r>
            <w:r w:rsidR="007C31B7" w:rsidRPr="009612C7">
              <w:rPr>
                <w:rFonts w:ascii="Century Gothic" w:hAnsi="Century Gothic"/>
                <w:sz w:val="22"/>
                <w:szCs w:val="22"/>
              </w:rPr>
              <w:t>contestación</w:t>
            </w:r>
            <w:r w:rsidRPr="009612C7">
              <w:rPr>
                <w:rFonts w:ascii="Century Gothic" w:hAnsi="Century Gothic"/>
                <w:sz w:val="22"/>
                <w:szCs w:val="22"/>
              </w:rPr>
              <w:t xml:space="preserve"> pura, excepciones y </w:t>
            </w:r>
            <w:r w:rsidR="007C31B7" w:rsidRPr="009612C7">
              <w:rPr>
                <w:rFonts w:ascii="Century Gothic" w:hAnsi="Century Gothic"/>
                <w:sz w:val="22"/>
                <w:szCs w:val="22"/>
              </w:rPr>
              <w:t>reconvención</w:t>
            </w:r>
            <w:r w:rsidRPr="009612C7">
              <w:rPr>
                <w:rFonts w:ascii="Century Gothic" w:hAnsi="Century Gothic"/>
                <w:sz w:val="22"/>
                <w:szCs w:val="22"/>
              </w:rPr>
              <w:t xml:space="preserve">. Requisitos de la </w:t>
            </w:r>
            <w:r w:rsidR="007C31B7" w:rsidRPr="009612C7">
              <w:rPr>
                <w:rFonts w:ascii="Century Gothic" w:hAnsi="Century Gothic"/>
                <w:sz w:val="22"/>
                <w:szCs w:val="22"/>
              </w:rPr>
              <w:t>contestación</w:t>
            </w:r>
            <w:r w:rsidRPr="009612C7">
              <w:rPr>
                <w:rFonts w:ascii="Century Gothic" w:hAnsi="Century Gothic"/>
                <w:sz w:val="22"/>
                <w:szCs w:val="22"/>
              </w:rPr>
              <w:t xml:space="preserve"> (Art. 96 CGP): pronunciamiento obligatorio sobre cada hecho (Art. 96 </w:t>
            </w:r>
            <w:r w:rsidR="007C31B7" w:rsidRPr="009612C7">
              <w:rPr>
                <w:rFonts w:ascii="Century Gothic" w:hAnsi="Century Gothic"/>
                <w:sz w:val="22"/>
                <w:szCs w:val="22"/>
              </w:rPr>
              <w:t>núm.</w:t>
            </w:r>
            <w:r w:rsidRPr="009612C7">
              <w:rPr>
                <w:rFonts w:ascii="Century Gothic" w:hAnsi="Century Gothic"/>
                <w:sz w:val="22"/>
                <w:szCs w:val="22"/>
              </w:rPr>
              <w:t xml:space="preserve"> 2: silencio = </w:t>
            </w:r>
            <w:r w:rsidR="007C31B7" w:rsidRPr="009612C7">
              <w:rPr>
                <w:rFonts w:ascii="Century Gothic" w:hAnsi="Century Gothic"/>
                <w:sz w:val="22"/>
                <w:szCs w:val="22"/>
              </w:rPr>
              <w:t>presunción</w:t>
            </w:r>
            <w:r w:rsidRPr="009612C7">
              <w:rPr>
                <w:rFonts w:ascii="Century Gothic" w:hAnsi="Century Gothic"/>
                <w:sz w:val="22"/>
                <w:szCs w:val="22"/>
              </w:rPr>
              <w:t xml:space="preserve"> de verdad). Las excepciones previas (Art. 100 CGP): tabla de las siete </w:t>
            </w:r>
            <w:r w:rsidR="007C31B7" w:rsidRPr="009612C7">
              <w:rPr>
                <w:rFonts w:ascii="Century Gothic" w:hAnsi="Century Gothic"/>
                <w:sz w:val="22"/>
                <w:szCs w:val="22"/>
              </w:rPr>
              <w:t>más</w:t>
            </w:r>
            <w:r w:rsidRPr="009612C7">
              <w:rPr>
                <w:rFonts w:ascii="Century Gothic" w:hAnsi="Century Gothic"/>
                <w:sz w:val="22"/>
                <w:szCs w:val="22"/>
              </w:rPr>
              <w:t xml:space="preserve"> frecuentes con efecto si prospera. Las excepciones de </w:t>
            </w:r>
            <w:r w:rsidR="007C31B7" w:rsidRPr="009612C7">
              <w:rPr>
                <w:rFonts w:ascii="Century Gothic" w:hAnsi="Century Gothic"/>
                <w:sz w:val="22"/>
                <w:szCs w:val="22"/>
              </w:rPr>
              <w:t>mérito</w:t>
            </w:r>
            <w:r w:rsidRPr="009612C7">
              <w:rPr>
                <w:rFonts w:ascii="Century Gothic" w:hAnsi="Century Gothic"/>
                <w:sz w:val="22"/>
                <w:szCs w:val="22"/>
              </w:rPr>
              <w:t xml:space="preserve"> o perentorias (Art. 282 CGP): pago, </w:t>
            </w:r>
            <w:r w:rsidR="007C31B7" w:rsidRPr="009612C7">
              <w:rPr>
                <w:rFonts w:ascii="Century Gothic" w:hAnsi="Century Gothic"/>
                <w:sz w:val="22"/>
                <w:szCs w:val="22"/>
              </w:rPr>
              <w:t>prescripción</w:t>
            </w:r>
            <w:r w:rsidRPr="009612C7">
              <w:rPr>
                <w:rFonts w:ascii="Century Gothic" w:hAnsi="Century Gothic"/>
                <w:sz w:val="22"/>
                <w:szCs w:val="22"/>
              </w:rPr>
              <w:t xml:space="preserve">, </w:t>
            </w:r>
            <w:r w:rsidR="007C31B7" w:rsidRPr="009612C7">
              <w:rPr>
                <w:rFonts w:ascii="Century Gothic" w:hAnsi="Century Gothic"/>
                <w:sz w:val="22"/>
                <w:szCs w:val="22"/>
              </w:rPr>
              <w:t>compensación</w:t>
            </w:r>
            <w:r w:rsidRPr="009612C7">
              <w:rPr>
                <w:rFonts w:ascii="Century Gothic" w:hAnsi="Century Gothic"/>
                <w:sz w:val="22"/>
                <w:szCs w:val="22"/>
              </w:rPr>
              <w:t xml:space="preserve">, nulidad, </w:t>
            </w:r>
            <w:r w:rsidR="007C31B7" w:rsidRPr="009612C7">
              <w:rPr>
                <w:rFonts w:ascii="Century Gothic" w:hAnsi="Century Gothic"/>
                <w:sz w:val="22"/>
                <w:szCs w:val="22"/>
              </w:rPr>
              <w:t>condición</w:t>
            </w:r>
            <w:r w:rsidRPr="009612C7">
              <w:rPr>
                <w:rFonts w:ascii="Century Gothic" w:hAnsi="Century Gothic"/>
                <w:sz w:val="22"/>
                <w:szCs w:val="22"/>
              </w:rPr>
              <w:t xml:space="preserve"> pendiente. La demanda de </w:t>
            </w:r>
            <w:r w:rsidR="007C31B7" w:rsidRPr="009612C7">
              <w:rPr>
                <w:rFonts w:ascii="Century Gothic" w:hAnsi="Century Gothic"/>
                <w:sz w:val="22"/>
                <w:szCs w:val="22"/>
              </w:rPr>
              <w:t>reconvención</w:t>
            </w:r>
            <w:r w:rsidRPr="009612C7">
              <w:rPr>
                <w:rFonts w:ascii="Century Gothic" w:hAnsi="Century Gothic"/>
                <w:sz w:val="22"/>
                <w:szCs w:val="22"/>
              </w:rPr>
              <w:t xml:space="preserve"> (Art. 371 CGP).</w:t>
            </w:r>
          </w:p>
        </w:tc>
      </w:tr>
    </w:tbl>
    <w:p w14:paraId="7FF584FF" w14:textId="77777777" w:rsidR="009612C7" w:rsidRPr="009612C7" w:rsidRDefault="009612C7" w:rsidP="009612C7">
      <w:pPr>
        <w:spacing w:after="0" w:line="240" w:lineRule="auto"/>
        <w:jc w:val="both"/>
        <w:rPr>
          <w:rFonts w:ascii="Century Gothic" w:hAnsi="Century Gothic"/>
          <w:sz w:val="22"/>
          <w:szCs w:val="22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35"/>
        <w:gridCol w:w="8293"/>
      </w:tblGrid>
      <w:tr w:rsidR="009612C7" w:rsidRPr="009612C7" w14:paraId="686BAC6D" w14:textId="77777777" w:rsidTr="009612C7">
        <w:tc>
          <w:tcPr>
            <w:tcW w:w="0" w:type="auto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1A3A5C"/>
            <w:tcMar>
              <w:top w:w="100" w:type="dxa"/>
              <w:left w:w="120" w:type="dxa"/>
              <w:bottom w:w="100" w:type="dxa"/>
              <w:right w:w="120" w:type="dxa"/>
            </w:tcMar>
            <w:hideMark/>
          </w:tcPr>
          <w:p w14:paraId="08FC33FC" w14:textId="77777777" w:rsidR="009612C7" w:rsidRPr="009612C7" w:rsidRDefault="009612C7" w:rsidP="009612C7">
            <w:pPr>
              <w:spacing w:after="0" w:line="240" w:lineRule="auto"/>
              <w:jc w:val="both"/>
              <w:rPr>
                <w:rFonts w:ascii="Century Gothic" w:hAnsi="Century Gothic"/>
                <w:sz w:val="22"/>
                <w:szCs w:val="22"/>
              </w:rPr>
            </w:pPr>
            <w:r w:rsidRPr="009612C7">
              <w:rPr>
                <w:rFonts w:ascii="Century Gothic" w:hAnsi="Century Gothic"/>
                <w:b/>
                <w:bCs/>
                <w:sz w:val="22"/>
                <w:szCs w:val="22"/>
              </w:rPr>
              <w:t>C6</w:t>
            </w:r>
          </w:p>
        </w:tc>
        <w:tc>
          <w:tcPr>
            <w:tcW w:w="0" w:type="auto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5F8FC"/>
            <w:tcMar>
              <w:top w:w="100" w:type="dxa"/>
              <w:left w:w="160" w:type="dxa"/>
              <w:bottom w:w="100" w:type="dxa"/>
              <w:right w:w="160" w:type="dxa"/>
            </w:tcMar>
            <w:hideMark/>
          </w:tcPr>
          <w:p w14:paraId="4E62FC13" w14:textId="2E6EAB84" w:rsidR="009612C7" w:rsidRPr="009612C7" w:rsidRDefault="007C31B7" w:rsidP="009612C7">
            <w:pPr>
              <w:spacing w:after="0" w:line="240" w:lineRule="auto"/>
              <w:jc w:val="both"/>
              <w:rPr>
                <w:rFonts w:ascii="Century Gothic" w:hAnsi="Century Gothic"/>
                <w:sz w:val="22"/>
                <w:szCs w:val="22"/>
              </w:rPr>
            </w:pPr>
            <w:r w:rsidRPr="009612C7">
              <w:rPr>
                <w:rFonts w:ascii="Century Gothic" w:hAnsi="Century Gothic"/>
                <w:b/>
                <w:bCs/>
                <w:sz w:val="22"/>
                <w:szCs w:val="22"/>
              </w:rPr>
              <w:t>Términos</w:t>
            </w:r>
            <w:r w:rsidR="009612C7" w:rsidRPr="009612C7">
              <w:rPr>
                <w:rFonts w:ascii="Century Gothic" w:hAnsi="Century Gothic"/>
                <w:b/>
                <w:bCs/>
                <w:sz w:val="22"/>
                <w:szCs w:val="22"/>
              </w:rPr>
              <w:t xml:space="preserve"> Procesales y </w:t>
            </w:r>
            <w:r w:rsidRPr="009612C7">
              <w:rPr>
                <w:rFonts w:ascii="Century Gothic" w:hAnsi="Century Gothic"/>
                <w:b/>
                <w:bCs/>
                <w:sz w:val="22"/>
                <w:szCs w:val="22"/>
              </w:rPr>
              <w:t>Preclusión</w:t>
            </w:r>
          </w:p>
          <w:p w14:paraId="466D4137" w14:textId="2E53DBC5" w:rsidR="009612C7" w:rsidRPr="009612C7" w:rsidRDefault="009612C7" w:rsidP="009612C7">
            <w:pPr>
              <w:spacing w:after="0" w:line="240" w:lineRule="auto"/>
              <w:jc w:val="both"/>
              <w:rPr>
                <w:rFonts w:ascii="Century Gothic" w:hAnsi="Century Gothic"/>
                <w:sz w:val="22"/>
                <w:szCs w:val="22"/>
              </w:rPr>
            </w:pPr>
            <w:r w:rsidRPr="009612C7">
              <w:rPr>
                <w:rFonts w:ascii="Century Gothic" w:hAnsi="Century Gothic"/>
                <w:sz w:val="22"/>
                <w:szCs w:val="22"/>
              </w:rPr>
              <w:t xml:space="preserve">Los </w:t>
            </w:r>
            <w:r w:rsidR="007C31B7" w:rsidRPr="009612C7">
              <w:rPr>
                <w:rFonts w:ascii="Century Gothic" w:hAnsi="Century Gothic"/>
                <w:sz w:val="22"/>
                <w:szCs w:val="22"/>
              </w:rPr>
              <w:t>términos</w:t>
            </w:r>
            <w:r w:rsidRPr="009612C7">
              <w:rPr>
                <w:rFonts w:ascii="Century Gothic" w:hAnsi="Century Gothic"/>
                <w:sz w:val="22"/>
                <w:szCs w:val="22"/>
              </w:rPr>
              <w:t xml:space="preserve"> procesales: legales, judiciales, convencionales, perentorios y </w:t>
            </w:r>
            <w:r w:rsidR="007C31B7" w:rsidRPr="009612C7">
              <w:rPr>
                <w:rFonts w:ascii="Century Gothic" w:hAnsi="Century Gothic"/>
                <w:sz w:val="22"/>
                <w:szCs w:val="22"/>
              </w:rPr>
              <w:t>ordena torios</w:t>
            </w:r>
            <w:r w:rsidRPr="009612C7">
              <w:rPr>
                <w:rFonts w:ascii="Century Gothic" w:hAnsi="Century Gothic"/>
                <w:sz w:val="22"/>
                <w:szCs w:val="22"/>
              </w:rPr>
              <w:t xml:space="preserve">. Las cinco reglas de oro para contar </w:t>
            </w:r>
            <w:r w:rsidR="007C31B7" w:rsidRPr="009612C7">
              <w:rPr>
                <w:rFonts w:ascii="Century Gothic" w:hAnsi="Century Gothic"/>
                <w:sz w:val="22"/>
                <w:szCs w:val="22"/>
              </w:rPr>
              <w:t>términos</w:t>
            </w:r>
            <w:r w:rsidRPr="009612C7">
              <w:rPr>
                <w:rFonts w:ascii="Century Gothic" w:hAnsi="Century Gothic"/>
                <w:sz w:val="22"/>
                <w:szCs w:val="22"/>
              </w:rPr>
              <w:t xml:space="preserve"> (Art. 118 CGP): dias </w:t>
            </w:r>
            <w:r w:rsidR="007C31B7" w:rsidRPr="009612C7">
              <w:rPr>
                <w:rFonts w:ascii="Century Gothic" w:hAnsi="Century Gothic"/>
                <w:sz w:val="22"/>
                <w:szCs w:val="22"/>
              </w:rPr>
              <w:t>hábiles</w:t>
            </w:r>
            <w:r w:rsidRPr="009612C7">
              <w:rPr>
                <w:rFonts w:ascii="Century Gothic" w:hAnsi="Century Gothic"/>
                <w:sz w:val="22"/>
                <w:szCs w:val="22"/>
              </w:rPr>
              <w:t xml:space="preserve">, </w:t>
            </w:r>
            <w:r w:rsidR="007C31B7" w:rsidRPr="009612C7">
              <w:rPr>
                <w:rFonts w:ascii="Century Gothic" w:hAnsi="Century Gothic"/>
                <w:sz w:val="22"/>
                <w:szCs w:val="22"/>
              </w:rPr>
              <w:t>día</w:t>
            </w:r>
            <w:r w:rsidRPr="009612C7">
              <w:rPr>
                <w:rFonts w:ascii="Century Gothic" w:hAnsi="Century Gothic"/>
                <w:sz w:val="22"/>
                <w:szCs w:val="22"/>
              </w:rPr>
              <w:t xml:space="preserve"> siguiente a la </w:t>
            </w:r>
            <w:r w:rsidR="007C31B7" w:rsidRPr="009612C7">
              <w:rPr>
                <w:rFonts w:ascii="Century Gothic" w:hAnsi="Century Gothic"/>
                <w:sz w:val="22"/>
                <w:szCs w:val="22"/>
              </w:rPr>
              <w:t>notificación</w:t>
            </w:r>
            <w:r w:rsidRPr="009612C7">
              <w:rPr>
                <w:rFonts w:ascii="Century Gothic" w:hAnsi="Century Gothic"/>
                <w:sz w:val="22"/>
                <w:szCs w:val="22"/>
              </w:rPr>
              <w:t xml:space="preserve">, desde la </w:t>
            </w:r>
            <w:r w:rsidR="007C31B7" w:rsidRPr="009612C7">
              <w:rPr>
                <w:rFonts w:ascii="Century Gothic" w:hAnsi="Century Gothic"/>
                <w:sz w:val="22"/>
                <w:szCs w:val="22"/>
              </w:rPr>
              <w:t>notificación</w:t>
            </w:r>
            <w:r w:rsidRPr="009612C7">
              <w:rPr>
                <w:rFonts w:ascii="Century Gothic" w:hAnsi="Century Gothic"/>
                <w:sz w:val="22"/>
                <w:szCs w:val="22"/>
              </w:rPr>
              <w:t xml:space="preserve"> no la </w:t>
            </w:r>
            <w:r w:rsidR="007C31B7" w:rsidRPr="009612C7">
              <w:rPr>
                <w:rFonts w:ascii="Century Gothic" w:hAnsi="Century Gothic"/>
                <w:sz w:val="22"/>
                <w:szCs w:val="22"/>
              </w:rPr>
              <w:t>expedición</w:t>
            </w:r>
            <w:r w:rsidRPr="009612C7">
              <w:rPr>
                <w:rFonts w:ascii="Century Gothic" w:hAnsi="Century Gothic"/>
                <w:sz w:val="22"/>
                <w:szCs w:val="22"/>
              </w:rPr>
              <w:t xml:space="preserve">, vacancias judiciales y prorroga al </w:t>
            </w:r>
            <w:r w:rsidR="007C31B7" w:rsidRPr="009612C7">
              <w:rPr>
                <w:rFonts w:ascii="Century Gothic" w:hAnsi="Century Gothic"/>
                <w:sz w:val="22"/>
                <w:szCs w:val="22"/>
              </w:rPr>
              <w:t>día</w:t>
            </w:r>
            <w:r w:rsidRPr="009612C7">
              <w:rPr>
                <w:rFonts w:ascii="Century Gothic" w:hAnsi="Century Gothic"/>
                <w:sz w:val="22"/>
                <w:szCs w:val="22"/>
              </w:rPr>
              <w:t xml:space="preserve"> siguiente si el despacho no </w:t>
            </w:r>
            <w:r w:rsidR="007C31B7" w:rsidRPr="009612C7">
              <w:rPr>
                <w:rFonts w:ascii="Century Gothic" w:hAnsi="Century Gothic"/>
                <w:sz w:val="22"/>
                <w:szCs w:val="22"/>
              </w:rPr>
              <w:t>abrió</w:t>
            </w:r>
            <w:r w:rsidRPr="009612C7">
              <w:rPr>
                <w:rFonts w:ascii="Century Gothic" w:hAnsi="Century Gothic"/>
                <w:sz w:val="22"/>
                <w:szCs w:val="22"/>
              </w:rPr>
              <w:t xml:space="preserve">. La </w:t>
            </w:r>
            <w:r w:rsidR="007C31B7" w:rsidRPr="009612C7">
              <w:rPr>
                <w:rFonts w:ascii="Century Gothic" w:hAnsi="Century Gothic"/>
                <w:sz w:val="22"/>
                <w:szCs w:val="22"/>
              </w:rPr>
              <w:t>preclusión</w:t>
            </w:r>
            <w:r w:rsidRPr="009612C7">
              <w:rPr>
                <w:rFonts w:ascii="Century Gothic" w:hAnsi="Century Gothic"/>
                <w:sz w:val="22"/>
                <w:szCs w:val="22"/>
              </w:rPr>
              <w:t xml:space="preserve"> como </w:t>
            </w:r>
            <w:r w:rsidR="007C31B7" w:rsidRPr="009612C7">
              <w:rPr>
                <w:rFonts w:ascii="Century Gothic" w:hAnsi="Century Gothic"/>
                <w:sz w:val="22"/>
                <w:szCs w:val="22"/>
              </w:rPr>
              <w:t>sanción</w:t>
            </w:r>
            <w:r w:rsidRPr="009612C7">
              <w:rPr>
                <w:rFonts w:ascii="Century Gothic" w:hAnsi="Century Gothic"/>
                <w:sz w:val="22"/>
                <w:szCs w:val="22"/>
              </w:rPr>
              <w:t xml:space="preserve"> </w:t>
            </w:r>
            <w:r w:rsidR="007C31B7" w:rsidRPr="009612C7">
              <w:rPr>
                <w:rFonts w:ascii="Century Gothic" w:hAnsi="Century Gothic"/>
                <w:sz w:val="22"/>
                <w:szCs w:val="22"/>
              </w:rPr>
              <w:t>automática</w:t>
            </w:r>
            <w:r w:rsidRPr="009612C7">
              <w:rPr>
                <w:rFonts w:ascii="Century Gothic" w:hAnsi="Century Gothic"/>
                <w:sz w:val="22"/>
                <w:szCs w:val="22"/>
              </w:rPr>
              <w:t xml:space="preserve"> al descuido. Tabla de </w:t>
            </w:r>
            <w:r w:rsidR="007C31B7" w:rsidRPr="009612C7">
              <w:rPr>
                <w:rFonts w:ascii="Century Gothic" w:hAnsi="Century Gothic"/>
                <w:sz w:val="22"/>
                <w:szCs w:val="22"/>
              </w:rPr>
              <w:t>términos</w:t>
            </w:r>
            <w:r w:rsidRPr="009612C7">
              <w:rPr>
                <w:rFonts w:ascii="Century Gothic" w:hAnsi="Century Gothic"/>
                <w:sz w:val="22"/>
                <w:szCs w:val="22"/>
              </w:rPr>
              <w:t xml:space="preserve"> </w:t>
            </w:r>
            <w:r w:rsidR="007C31B7" w:rsidRPr="009612C7">
              <w:rPr>
                <w:rFonts w:ascii="Century Gothic" w:hAnsi="Century Gothic"/>
                <w:sz w:val="22"/>
                <w:szCs w:val="22"/>
              </w:rPr>
              <w:t>críticos</w:t>
            </w:r>
            <w:r w:rsidRPr="009612C7">
              <w:rPr>
                <w:rFonts w:ascii="Century Gothic" w:hAnsi="Century Gothic"/>
                <w:sz w:val="22"/>
                <w:szCs w:val="22"/>
              </w:rPr>
              <w:t xml:space="preserve"> del proceso verbal. El vencimiento injustificado como falla del servicio profesional del abogado.</w:t>
            </w:r>
          </w:p>
        </w:tc>
      </w:tr>
    </w:tbl>
    <w:p w14:paraId="05C2BC73" w14:textId="77777777" w:rsidR="009612C7" w:rsidRPr="009612C7" w:rsidRDefault="009612C7" w:rsidP="009612C7">
      <w:pPr>
        <w:spacing w:after="0" w:line="240" w:lineRule="auto"/>
        <w:jc w:val="both"/>
        <w:rPr>
          <w:rFonts w:ascii="Century Gothic" w:hAnsi="Century Gothic"/>
          <w:sz w:val="22"/>
          <w:szCs w:val="22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35"/>
        <w:gridCol w:w="8293"/>
      </w:tblGrid>
      <w:tr w:rsidR="009612C7" w:rsidRPr="009612C7" w14:paraId="2DDB4DF9" w14:textId="77777777" w:rsidTr="009612C7">
        <w:tc>
          <w:tcPr>
            <w:tcW w:w="0" w:type="auto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1A3A5C"/>
            <w:tcMar>
              <w:top w:w="100" w:type="dxa"/>
              <w:left w:w="120" w:type="dxa"/>
              <w:bottom w:w="100" w:type="dxa"/>
              <w:right w:w="120" w:type="dxa"/>
            </w:tcMar>
            <w:hideMark/>
          </w:tcPr>
          <w:p w14:paraId="1AC43C01" w14:textId="77777777" w:rsidR="009612C7" w:rsidRPr="009612C7" w:rsidRDefault="009612C7" w:rsidP="009612C7">
            <w:pPr>
              <w:spacing w:after="0" w:line="240" w:lineRule="auto"/>
              <w:jc w:val="both"/>
              <w:rPr>
                <w:rFonts w:ascii="Century Gothic" w:hAnsi="Century Gothic"/>
                <w:sz w:val="22"/>
                <w:szCs w:val="22"/>
              </w:rPr>
            </w:pPr>
            <w:r w:rsidRPr="009612C7">
              <w:rPr>
                <w:rFonts w:ascii="Century Gothic" w:hAnsi="Century Gothic"/>
                <w:b/>
                <w:bCs/>
                <w:sz w:val="22"/>
                <w:szCs w:val="22"/>
              </w:rPr>
              <w:t>C7</w:t>
            </w:r>
          </w:p>
        </w:tc>
        <w:tc>
          <w:tcPr>
            <w:tcW w:w="0" w:type="auto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5F8FC"/>
            <w:tcMar>
              <w:top w:w="100" w:type="dxa"/>
              <w:left w:w="160" w:type="dxa"/>
              <w:bottom w:w="100" w:type="dxa"/>
              <w:right w:w="160" w:type="dxa"/>
            </w:tcMar>
            <w:hideMark/>
          </w:tcPr>
          <w:p w14:paraId="753EBCFD" w14:textId="7BF2ECA0" w:rsidR="009612C7" w:rsidRPr="009612C7" w:rsidRDefault="009612C7" w:rsidP="009612C7">
            <w:pPr>
              <w:spacing w:after="0" w:line="240" w:lineRule="auto"/>
              <w:jc w:val="both"/>
              <w:rPr>
                <w:rFonts w:ascii="Century Gothic" w:hAnsi="Century Gothic"/>
                <w:sz w:val="22"/>
                <w:szCs w:val="22"/>
              </w:rPr>
            </w:pPr>
            <w:r w:rsidRPr="009612C7">
              <w:rPr>
                <w:rFonts w:ascii="Century Gothic" w:hAnsi="Century Gothic"/>
                <w:b/>
                <w:bCs/>
                <w:sz w:val="22"/>
                <w:szCs w:val="22"/>
              </w:rPr>
              <w:t xml:space="preserve">Las Notificaciones: </w:t>
            </w:r>
            <w:r w:rsidR="007C31B7" w:rsidRPr="009612C7">
              <w:rPr>
                <w:rFonts w:ascii="Century Gothic" w:hAnsi="Century Gothic"/>
                <w:b/>
                <w:bCs/>
                <w:sz w:val="22"/>
                <w:szCs w:val="22"/>
              </w:rPr>
              <w:t>Garantía</w:t>
            </w:r>
            <w:r w:rsidRPr="009612C7">
              <w:rPr>
                <w:rFonts w:ascii="Century Gothic" w:hAnsi="Century Gothic"/>
                <w:b/>
                <w:bCs/>
                <w:sz w:val="22"/>
                <w:szCs w:val="22"/>
              </w:rPr>
              <w:t xml:space="preserve"> de la </w:t>
            </w:r>
            <w:r w:rsidR="007C31B7" w:rsidRPr="009612C7">
              <w:rPr>
                <w:rFonts w:ascii="Century Gothic" w:hAnsi="Century Gothic"/>
                <w:b/>
                <w:bCs/>
                <w:sz w:val="22"/>
                <w:szCs w:val="22"/>
              </w:rPr>
              <w:t>Contradicción</w:t>
            </w:r>
          </w:p>
          <w:p w14:paraId="02E532D2" w14:textId="3A0FBE5C" w:rsidR="009612C7" w:rsidRPr="009612C7" w:rsidRDefault="009612C7" w:rsidP="009612C7">
            <w:pPr>
              <w:spacing w:after="0" w:line="240" w:lineRule="auto"/>
              <w:jc w:val="both"/>
              <w:rPr>
                <w:rFonts w:ascii="Century Gothic" w:hAnsi="Century Gothic"/>
                <w:sz w:val="22"/>
                <w:szCs w:val="22"/>
              </w:rPr>
            </w:pPr>
            <w:r w:rsidRPr="009612C7">
              <w:rPr>
                <w:rFonts w:ascii="Century Gothic" w:hAnsi="Century Gothic"/>
                <w:sz w:val="22"/>
                <w:szCs w:val="22"/>
              </w:rPr>
              <w:t xml:space="preserve">Las notificaciones como </w:t>
            </w:r>
            <w:r w:rsidR="007C31B7" w:rsidRPr="009612C7">
              <w:rPr>
                <w:rFonts w:ascii="Century Gothic" w:hAnsi="Century Gothic"/>
                <w:sz w:val="22"/>
                <w:szCs w:val="22"/>
              </w:rPr>
              <w:t>garantía</w:t>
            </w:r>
            <w:r w:rsidRPr="009612C7">
              <w:rPr>
                <w:rFonts w:ascii="Century Gothic" w:hAnsi="Century Gothic"/>
                <w:sz w:val="22"/>
                <w:szCs w:val="22"/>
              </w:rPr>
              <w:t xml:space="preserve"> material del derecho de </w:t>
            </w:r>
            <w:r w:rsidR="007C31B7" w:rsidRPr="009612C7">
              <w:rPr>
                <w:rFonts w:ascii="Century Gothic" w:hAnsi="Century Gothic"/>
                <w:sz w:val="22"/>
                <w:szCs w:val="22"/>
              </w:rPr>
              <w:t>contradicción</w:t>
            </w:r>
            <w:r w:rsidRPr="009612C7">
              <w:rPr>
                <w:rFonts w:ascii="Century Gothic" w:hAnsi="Century Gothic"/>
                <w:sz w:val="22"/>
                <w:szCs w:val="22"/>
              </w:rPr>
              <w:t xml:space="preserve">. Consecuencia de la </w:t>
            </w:r>
            <w:r w:rsidR="007C31B7" w:rsidRPr="009612C7">
              <w:rPr>
                <w:rFonts w:ascii="Century Gothic" w:hAnsi="Century Gothic"/>
                <w:sz w:val="22"/>
                <w:szCs w:val="22"/>
              </w:rPr>
              <w:t>notificación</w:t>
            </w:r>
            <w:r w:rsidRPr="009612C7">
              <w:rPr>
                <w:rFonts w:ascii="Century Gothic" w:hAnsi="Century Gothic"/>
                <w:sz w:val="22"/>
                <w:szCs w:val="22"/>
              </w:rPr>
              <w:t xml:space="preserve"> defectuosa: nulidad (Art. 133 </w:t>
            </w:r>
            <w:r w:rsidR="007C31B7" w:rsidRPr="009612C7">
              <w:rPr>
                <w:rFonts w:ascii="Century Gothic" w:hAnsi="Century Gothic"/>
                <w:sz w:val="22"/>
                <w:szCs w:val="22"/>
              </w:rPr>
              <w:t>núm.</w:t>
            </w:r>
            <w:r w:rsidRPr="009612C7">
              <w:rPr>
                <w:rFonts w:ascii="Century Gothic" w:hAnsi="Century Gothic"/>
                <w:sz w:val="22"/>
                <w:szCs w:val="22"/>
              </w:rPr>
              <w:t xml:space="preserve"> 8 CGP). Tabla de los seis tipos: personal, por aviso, por estado, por estrados, por conducta concluyente y </w:t>
            </w:r>
            <w:r w:rsidR="007C31B7" w:rsidRPr="009612C7">
              <w:rPr>
                <w:rFonts w:ascii="Century Gothic" w:hAnsi="Century Gothic"/>
                <w:sz w:val="22"/>
                <w:szCs w:val="22"/>
              </w:rPr>
              <w:t>electrónica</w:t>
            </w:r>
            <w:r w:rsidRPr="009612C7">
              <w:rPr>
                <w:rFonts w:ascii="Century Gothic" w:hAnsi="Century Gothic"/>
                <w:sz w:val="22"/>
                <w:szCs w:val="22"/>
              </w:rPr>
              <w:t xml:space="preserve">. La </w:t>
            </w:r>
            <w:r w:rsidR="007C31B7" w:rsidRPr="009612C7">
              <w:rPr>
                <w:rFonts w:ascii="Century Gothic" w:hAnsi="Century Gothic"/>
                <w:sz w:val="22"/>
                <w:szCs w:val="22"/>
              </w:rPr>
              <w:t>notificación</w:t>
            </w:r>
            <w:r w:rsidRPr="009612C7">
              <w:rPr>
                <w:rFonts w:ascii="Century Gothic" w:hAnsi="Century Gothic"/>
                <w:sz w:val="22"/>
                <w:szCs w:val="22"/>
              </w:rPr>
              <w:t xml:space="preserve"> personal: </w:t>
            </w:r>
            <w:r w:rsidR="007C31B7" w:rsidRPr="009612C7">
              <w:rPr>
                <w:rFonts w:ascii="Century Gothic" w:hAnsi="Century Gothic"/>
                <w:sz w:val="22"/>
                <w:szCs w:val="22"/>
              </w:rPr>
              <w:t>única</w:t>
            </w:r>
            <w:r w:rsidRPr="009612C7">
              <w:rPr>
                <w:rFonts w:ascii="Century Gothic" w:hAnsi="Century Gothic"/>
                <w:sz w:val="22"/>
                <w:szCs w:val="22"/>
              </w:rPr>
              <w:t xml:space="preserve"> que vincula al demandado por primera vez (Art. 291 CGP). Las innovaciones de la Ley 2213 de 2022: expediente digital, mensaje de datos, </w:t>
            </w:r>
            <w:r w:rsidRPr="009612C7">
              <w:rPr>
                <w:rFonts w:ascii="Century Gothic" w:hAnsi="Century Gothic"/>
                <w:sz w:val="22"/>
                <w:szCs w:val="22"/>
              </w:rPr>
              <w:lastRenderedPageBreak/>
              <w:t xml:space="preserve">correo registrado en </w:t>
            </w:r>
            <w:r w:rsidR="007C31B7" w:rsidRPr="009612C7">
              <w:rPr>
                <w:rFonts w:ascii="Century Gothic" w:hAnsi="Century Gothic"/>
                <w:sz w:val="22"/>
                <w:szCs w:val="22"/>
              </w:rPr>
              <w:t>Cámara</w:t>
            </w:r>
            <w:r w:rsidRPr="009612C7">
              <w:rPr>
                <w:rFonts w:ascii="Century Gothic" w:hAnsi="Century Gothic"/>
                <w:sz w:val="22"/>
                <w:szCs w:val="22"/>
              </w:rPr>
              <w:t xml:space="preserve"> de Comercio, audiencias virtuales y estado </w:t>
            </w:r>
            <w:r w:rsidR="007C31B7" w:rsidRPr="009612C7">
              <w:rPr>
                <w:rFonts w:ascii="Century Gothic" w:hAnsi="Century Gothic"/>
                <w:sz w:val="22"/>
                <w:szCs w:val="22"/>
              </w:rPr>
              <w:t>electrónico</w:t>
            </w:r>
            <w:r w:rsidRPr="009612C7">
              <w:rPr>
                <w:rFonts w:ascii="Century Gothic" w:hAnsi="Century Gothic"/>
                <w:sz w:val="22"/>
                <w:szCs w:val="22"/>
              </w:rPr>
              <w:t xml:space="preserve">. Saneamiento </w:t>
            </w:r>
            <w:r w:rsidR="007C31B7" w:rsidRPr="009612C7">
              <w:rPr>
                <w:rFonts w:ascii="Century Gothic" w:hAnsi="Century Gothic"/>
                <w:sz w:val="22"/>
                <w:szCs w:val="22"/>
              </w:rPr>
              <w:t>tácito</w:t>
            </w:r>
            <w:r w:rsidRPr="009612C7">
              <w:rPr>
                <w:rFonts w:ascii="Century Gothic" w:hAnsi="Century Gothic"/>
                <w:sz w:val="22"/>
                <w:szCs w:val="22"/>
              </w:rPr>
              <w:t xml:space="preserve"> de </w:t>
            </w:r>
            <w:r w:rsidR="007C31B7" w:rsidRPr="009612C7">
              <w:rPr>
                <w:rFonts w:ascii="Century Gothic" w:hAnsi="Century Gothic"/>
                <w:sz w:val="22"/>
                <w:szCs w:val="22"/>
              </w:rPr>
              <w:t>notificación</w:t>
            </w:r>
            <w:r w:rsidRPr="009612C7">
              <w:rPr>
                <w:rFonts w:ascii="Century Gothic" w:hAnsi="Century Gothic"/>
                <w:sz w:val="22"/>
                <w:szCs w:val="22"/>
              </w:rPr>
              <w:t xml:space="preserve"> defectuosa.</w:t>
            </w:r>
          </w:p>
        </w:tc>
      </w:tr>
    </w:tbl>
    <w:p w14:paraId="514B1F54" w14:textId="77777777" w:rsidR="009612C7" w:rsidRPr="009612C7" w:rsidRDefault="009612C7" w:rsidP="009612C7">
      <w:pPr>
        <w:spacing w:after="0" w:line="240" w:lineRule="auto"/>
        <w:jc w:val="both"/>
        <w:rPr>
          <w:rFonts w:ascii="Century Gothic" w:hAnsi="Century Gothic"/>
          <w:sz w:val="22"/>
          <w:szCs w:val="22"/>
        </w:rPr>
      </w:pPr>
    </w:p>
    <w:p w14:paraId="49FDAA23" w14:textId="77777777" w:rsidR="009612C7" w:rsidRPr="009612C7" w:rsidRDefault="009612C7" w:rsidP="009612C7">
      <w:pPr>
        <w:spacing w:after="0" w:line="240" w:lineRule="auto"/>
        <w:jc w:val="both"/>
        <w:rPr>
          <w:rFonts w:ascii="Century Gothic" w:hAnsi="Century Gothic"/>
          <w:sz w:val="22"/>
          <w:szCs w:val="22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940"/>
      </w:tblGrid>
      <w:tr w:rsidR="009612C7" w:rsidRPr="009612C7" w14:paraId="5780ADC5" w14:textId="77777777" w:rsidTr="009612C7">
        <w:tc>
          <w:tcPr>
            <w:tcW w:w="0" w:type="auto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5C1A5C"/>
            <w:tcMar>
              <w:top w:w="140" w:type="dxa"/>
              <w:left w:w="220" w:type="dxa"/>
              <w:bottom w:w="140" w:type="dxa"/>
              <w:right w:w="220" w:type="dxa"/>
            </w:tcMar>
            <w:hideMark/>
          </w:tcPr>
          <w:p w14:paraId="2374EBA4" w14:textId="77777777" w:rsidR="009612C7" w:rsidRPr="009612C7" w:rsidRDefault="009612C7" w:rsidP="009612C7">
            <w:pPr>
              <w:spacing w:after="0" w:line="240" w:lineRule="auto"/>
              <w:jc w:val="both"/>
              <w:rPr>
                <w:rFonts w:ascii="Century Gothic" w:hAnsi="Century Gothic"/>
                <w:sz w:val="22"/>
                <w:szCs w:val="22"/>
              </w:rPr>
            </w:pPr>
            <w:r w:rsidRPr="009612C7">
              <w:rPr>
                <w:rFonts w:ascii="Century Gothic" w:hAnsi="Century Gothic"/>
                <w:b/>
                <w:bCs/>
                <w:sz w:val="22"/>
                <w:szCs w:val="22"/>
              </w:rPr>
              <w:t>MODULO 5  PROVIDENCIAS, RECURSOS Y NULIDADES</w:t>
            </w:r>
          </w:p>
        </w:tc>
      </w:tr>
    </w:tbl>
    <w:p w14:paraId="7E974B6F" w14:textId="77777777" w:rsidR="009612C7" w:rsidRPr="009612C7" w:rsidRDefault="009612C7" w:rsidP="009612C7">
      <w:pPr>
        <w:spacing w:after="0" w:line="240" w:lineRule="auto"/>
        <w:jc w:val="both"/>
        <w:rPr>
          <w:rFonts w:ascii="Century Gothic" w:hAnsi="Century Gothic"/>
          <w:sz w:val="22"/>
          <w:szCs w:val="22"/>
        </w:rPr>
      </w:pPr>
    </w:p>
    <w:p w14:paraId="0D35DE9C" w14:textId="77777777" w:rsidR="009612C7" w:rsidRPr="009612C7" w:rsidRDefault="009612C7" w:rsidP="009612C7">
      <w:pPr>
        <w:spacing w:after="0" w:line="240" w:lineRule="auto"/>
        <w:jc w:val="both"/>
        <w:rPr>
          <w:rFonts w:ascii="Century Gothic" w:hAnsi="Century Gothic"/>
          <w:sz w:val="22"/>
          <w:szCs w:val="22"/>
        </w:rPr>
      </w:pPr>
      <w:r w:rsidRPr="009612C7">
        <w:rPr>
          <w:rFonts w:ascii="Century Gothic" w:hAnsi="Century Gothic"/>
          <w:b/>
          <w:bCs/>
          <w:sz w:val="22"/>
          <w:szCs w:val="22"/>
        </w:rPr>
        <w:t xml:space="preserve">Enfoque: </w:t>
      </w:r>
      <w:r w:rsidRPr="009612C7">
        <w:rPr>
          <w:rFonts w:ascii="Century Gothic" w:hAnsi="Century Gothic"/>
          <w:i/>
          <w:iCs/>
          <w:sz w:val="22"/>
          <w:szCs w:val="22"/>
        </w:rPr>
        <w:t>"Decisiones del Juez y Medios de Defensa"</w:t>
      </w:r>
    </w:p>
    <w:p w14:paraId="66A9AEC2" w14:textId="08810599" w:rsidR="009612C7" w:rsidRPr="009612C7" w:rsidRDefault="009612C7" w:rsidP="009612C7">
      <w:pPr>
        <w:spacing w:after="0" w:line="240" w:lineRule="auto"/>
        <w:jc w:val="both"/>
        <w:rPr>
          <w:rFonts w:ascii="Century Gothic" w:hAnsi="Century Gothic"/>
          <w:sz w:val="22"/>
          <w:szCs w:val="22"/>
        </w:rPr>
      </w:pPr>
      <w:r w:rsidRPr="009612C7">
        <w:rPr>
          <w:rFonts w:ascii="Century Gothic" w:hAnsi="Century Gothic"/>
          <w:sz w:val="22"/>
          <w:szCs w:val="22"/>
        </w:rPr>
        <w:t xml:space="preserve">Este </w:t>
      </w:r>
      <w:r w:rsidR="007C31B7" w:rsidRPr="009612C7">
        <w:rPr>
          <w:rFonts w:ascii="Century Gothic" w:hAnsi="Century Gothic"/>
          <w:sz w:val="22"/>
          <w:szCs w:val="22"/>
        </w:rPr>
        <w:t>módulo</w:t>
      </w:r>
      <w:r w:rsidRPr="009612C7">
        <w:rPr>
          <w:rFonts w:ascii="Century Gothic" w:hAnsi="Century Gothic"/>
          <w:sz w:val="22"/>
          <w:szCs w:val="22"/>
        </w:rPr>
        <w:t xml:space="preserve"> estudia las providencias judiciales: sus tipos, su estructura interna, los requisitos constitucionales que deben cumplir (especialmente la </w:t>
      </w:r>
      <w:r w:rsidR="007C31B7" w:rsidRPr="009612C7">
        <w:rPr>
          <w:rFonts w:ascii="Century Gothic" w:hAnsi="Century Gothic"/>
          <w:sz w:val="22"/>
          <w:szCs w:val="22"/>
        </w:rPr>
        <w:t>motivación</w:t>
      </w:r>
      <w:r w:rsidRPr="009612C7">
        <w:rPr>
          <w:rFonts w:ascii="Century Gothic" w:hAnsi="Century Gothic"/>
          <w:sz w:val="22"/>
          <w:szCs w:val="22"/>
        </w:rPr>
        <w:t xml:space="preserve"> y la congruencia) y los mecanismos procesales disponibles para impugnarlas cuando se consideran incorrectas o injustas. Se aborda el sistema completo de recursos ordinarios y extraordinarios del CGP, el </w:t>
      </w:r>
      <w:r w:rsidR="007C31B7" w:rsidRPr="009612C7">
        <w:rPr>
          <w:rFonts w:ascii="Century Gothic" w:hAnsi="Century Gothic"/>
          <w:sz w:val="22"/>
          <w:szCs w:val="22"/>
        </w:rPr>
        <w:t>régimen</w:t>
      </w:r>
      <w:r w:rsidRPr="009612C7">
        <w:rPr>
          <w:rFonts w:ascii="Century Gothic" w:hAnsi="Century Gothic"/>
          <w:sz w:val="22"/>
          <w:szCs w:val="22"/>
        </w:rPr>
        <w:t xml:space="preserve"> de nulidades y el principio de saneamiento como alternativa a la </w:t>
      </w:r>
      <w:r w:rsidR="007C31B7" w:rsidRPr="009612C7">
        <w:rPr>
          <w:rFonts w:ascii="Century Gothic" w:hAnsi="Century Gothic"/>
          <w:sz w:val="22"/>
          <w:szCs w:val="22"/>
        </w:rPr>
        <w:t>destrucción</w:t>
      </w:r>
      <w:r w:rsidRPr="009612C7">
        <w:rPr>
          <w:rFonts w:ascii="Century Gothic" w:hAnsi="Century Gothic"/>
          <w:sz w:val="22"/>
          <w:szCs w:val="22"/>
        </w:rPr>
        <w:t xml:space="preserve"> de lo actuado.</w:t>
      </w:r>
    </w:p>
    <w:p w14:paraId="16A22923" w14:textId="77777777" w:rsidR="009612C7" w:rsidRPr="009612C7" w:rsidRDefault="009612C7" w:rsidP="009612C7">
      <w:pPr>
        <w:spacing w:after="0" w:line="240" w:lineRule="auto"/>
        <w:jc w:val="both"/>
        <w:rPr>
          <w:rFonts w:ascii="Century Gothic" w:hAnsi="Century Gothic"/>
          <w:sz w:val="22"/>
          <w:szCs w:val="22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35"/>
        <w:gridCol w:w="8293"/>
      </w:tblGrid>
      <w:tr w:rsidR="009612C7" w:rsidRPr="009612C7" w14:paraId="3C4D7868" w14:textId="77777777" w:rsidTr="009612C7">
        <w:tc>
          <w:tcPr>
            <w:tcW w:w="0" w:type="auto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1A3A5C"/>
            <w:tcMar>
              <w:top w:w="100" w:type="dxa"/>
              <w:left w:w="120" w:type="dxa"/>
              <w:bottom w:w="100" w:type="dxa"/>
              <w:right w:w="120" w:type="dxa"/>
            </w:tcMar>
            <w:hideMark/>
          </w:tcPr>
          <w:p w14:paraId="6610E354" w14:textId="77777777" w:rsidR="009612C7" w:rsidRPr="009612C7" w:rsidRDefault="009612C7" w:rsidP="009612C7">
            <w:pPr>
              <w:spacing w:after="0" w:line="240" w:lineRule="auto"/>
              <w:jc w:val="both"/>
              <w:rPr>
                <w:rFonts w:ascii="Century Gothic" w:hAnsi="Century Gothic"/>
                <w:sz w:val="22"/>
                <w:szCs w:val="22"/>
              </w:rPr>
            </w:pPr>
            <w:r w:rsidRPr="009612C7">
              <w:rPr>
                <w:rFonts w:ascii="Century Gothic" w:hAnsi="Century Gothic"/>
                <w:b/>
                <w:bCs/>
                <w:sz w:val="22"/>
                <w:szCs w:val="22"/>
              </w:rPr>
              <w:t>C1</w:t>
            </w:r>
          </w:p>
        </w:tc>
        <w:tc>
          <w:tcPr>
            <w:tcW w:w="0" w:type="auto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5F8FC"/>
            <w:tcMar>
              <w:top w:w="100" w:type="dxa"/>
              <w:left w:w="160" w:type="dxa"/>
              <w:bottom w:w="100" w:type="dxa"/>
              <w:right w:w="160" w:type="dxa"/>
            </w:tcMar>
            <w:hideMark/>
          </w:tcPr>
          <w:p w14:paraId="30EDEF86" w14:textId="77777777" w:rsidR="009612C7" w:rsidRPr="009612C7" w:rsidRDefault="009612C7" w:rsidP="009612C7">
            <w:pPr>
              <w:spacing w:after="0" w:line="240" w:lineRule="auto"/>
              <w:jc w:val="both"/>
              <w:rPr>
                <w:rFonts w:ascii="Century Gothic" w:hAnsi="Century Gothic"/>
                <w:sz w:val="22"/>
                <w:szCs w:val="22"/>
              </w:rPr>
            </w:pPr>
            <w:r w:rsidRPr="009612C7">
              <w:rPr>
                <w:rFonts w:ascii="Century Gothic" w:hAnsi="Century Gothic"/>
                <w:b/>
                <w:bCs/>
                <w:sz w:val="22"/>
                <w:szCs w:val="22"/>
              </w:rPr>
              <w:t>Providencias Judiciales: Autos vs. Sentencias</w:t>
            </w:r>
          </w:p>
          <w:p w14:paraId="330AB1A3" w14:textId="6295472B" w:rsidR="009612C7" w:rsidRPr="009612C7" w:rsidRDefault="007C31B7" w:rsidP="009612C7">
            <w:pPr>
              <w:spacing w:after="0" w:line="240" w:lineRule="auto"/>
              <w:jc w:val="both"/>
              <w:rPr>
                <w:rFonts w:ascii="Century Gothic" w:hAnsi="Century Gothic"/>
                <w:sz w:val="22"/>
                <w:szCs w:val="22"/>
              </w:rPr>
            </w:pPr>
            <w:r w:rsidRPr="009612C7">
              <w:rPr>
                <w:rFonts w:ascii="Century Gothic" w:hAnsi="Century Gothic"/>
                <w:sz w:val="22"/>
                <w:szCs w:val="22"/>
              </w:rPr>
              <w:t>Clasificación</w:t>
            </w:r>
            <w:r w:rsidR="009612C7" w:rsidRPr="009612C7">
              <w:rPr>
                <w:rFonts w:ascii="Century Gothic" w:hAnsi="Century Gothic"/>
                <w:sz w:val="22"/>
                <w:szCs w:val="22"/>
              </w:rPr>
              <w:t xml:space="preserve"> del Art. 278 CGP y Art. 15 Ley 270/96. Autos de </w:t>
            </w:r>
            <w:r w:rsidRPr="009612C7">
              <w:rPr>
                <w:rFonts w:ascii="Century Gothic" w:hAnsi="Century Gothic"/>
                <w:sz w:val="22"/>
                <w:szCs w:val="22"/>
              </w:rPr>
              <w:t>sustanciación</w:t>
            </w:r>
            <w:r w:rsidR="009612C7" w:rsidRPr="009612C7">
              <w:rPr>
                <w:rFonts w:ascii="Century Gothic" w:hAnsi="Century Gothic"/>
                <w:sz w:val="22"/>
                <w:szCs w:val="22"/>
              </w:rPr>
              <w:t xml:space="preserve">: impulsan el proceso sin decidir cuestiones sustanciales, solo procede </w:t>
            </w:r>
            <w:r w:rsidRPr="009612C7">
              <w:rPr>
                <w:rFonts w:ascii="Century Gothic" w:hAnsi="Century Gothic"/>
                <w:sz w:val="22"/>
                <w:szCs w:val="22"/>
              </w:rPr>
              <w:t>reposición</w:t>
            </w:r>
            <w:r w:rsidR="009612C7" w:rsidRPr="009612C7">
              <w:rPr>
                <w:rFonts w:ascii="Century Gothic" w:hAnsi="Century Gothic"/>
                <w:sz w:val="22"/>
                <w:szCs w:val="22"/>
              </w:rPr>
              <w:t xml:space="preserve">. Autos interlocutorios: resuelven cuestiones incidentales sustanciales, proceden </w:t>
            </w:r>
            <w:r w:rsidRPr="009612C7">
              <w:rPr>
                <w:rFonts w:ascii="Century Gothic" w:hAnsi="Century Gothic"/>
                <w:sz w:val="22"/>
                <w:szCs w:val="22"/>
              </w:rPr>
              <w:t>reposición</w:t>
            </w:r>
            <w:r w:rsidR="009612C7" w:rsidRPr="009612C7">
              <w:rPr>
                <w:rFonts w:ascii="Century Gothic" w:hAnsi="Century Gothic"/>
                <w:sz w:val="22"/>
                <w:szCs w:val="22"/>
              </w:rPr>
              <w:t xml:space="preserve"> y </w:t>
            </w:r>
            <w:r w:rsidRPr="009612C7">
              <w:rPr>
                <w:rFonts w:ascii="Century Gothic" w:hAnsi="Century Gothic"/>
                <w:sz w:val="22"/>
                <w:szCs w:val="22"/>
              </w:rPr>
              <w:t>apelación</w:t>
            </w:r>
            <w:r w:rsidR="009612C7" w:rsidRPr="009612C7">
              <w:rPr>
                <w:rFonts w:ascii="Century Gothic" w:hAnsi="Century Gothic"/>
                <w:sz w:val="22"/>
                <w:szCs w:val="22"/>
              </w:rPr>
              <w:t xml:space="preserve"> (en los casos del Art. 321 CGP). Sentencias: deciden el </w:t>
            </w:r>
            <w:r w:rsidRPr="009612C7">
              <w:rPr>
                <w:rFonts w:ascii="Century Gothic" w:hAnsi="Century Gothic"/>
                <w:sz w:val="22"/>
                <w:szCs w:val="22"/>
              </w:rPr>
              <w:t>mérito</w:t>
            </w:r>
            <w:r w:rsidR="009612C7" w:rsidRPr="009612C7">
              <w:rPr>
                <w:rFonts w:ascii="Century Gothic" w:hAnsi="Century Gothic"/>
                <w:sz w:val="22"/>
                <w:szCs w:val="22"/>
              </w:rPr>
              <w:t xml:space="preserve">, proceden </w:t>
            </w:r>
            <w:r w:rsidRPr="009612C7">
              <w:rPr>
                <w:rFonts w:ascii="Century Gothic" w:hAnsi="Century Gothic"/>
                <w:sz w:val="22"/>
                <w:szCs w:val="22"/>
              </w:rPr>
              <w:t>apelación</w:t>
            </w:r>
            <w:r w:rsidR="009612C7" w:rsidRPr="009612C7">
              <w:rPr>
                <w:rFonts w:ascii="Century Gothic" w:hAnsi="Century Gothic"/>
                <w:sz w:val="22"/>
                <w:szCs w:val="22"/>
              </w:rPr>
              <w:t xml:space="preserve"> y </w:t>
            </w:r>
            <w:r w:rsidRPr="009612C7">
              <w:rPr>
                <w:rFonts w:ascii="Century Gothic" w:hAnsi="Century Gothic"/>
                <w:sz w:val="22"/>
                <w:szCs w:val="22"/>
              </w:rPr>
              <w:t>casación</w:t>
            </w:r>
            <w:r w:rsidR="009612C7" w:rsidRPr="009612C7">
              <w:rPr>
                <w:rFonts w:ascii="Century Gothic" w:hAnsi="Century Gothic"/>
                <w:sz w:val="22"/>
                <w:szCs w:val="22"/>
              </w:rPr>
              <w:t xml:space="preserve">. </w:t>
            </w:r>
          </w:p>
        </w:tc>
      </w:tr>
    </w:tbl>
    <w:p w14:paraId="0310FE7C" w14:textId="77777777" w:rsidR="009612C7" w:rsidRPr="009612C7" w:rsidRDefault="009612C7" w:rsidP="009612C7">
      <w:pPr>
        <w:spacing w:after="0" w:line="240" w:lineRule="auto"/>
        <w:jc w:val="both"/>
        <w:rPr>
          <w:rFonts w:ascii="Century Gothic" w:hAnsi="Century Gothic"/>
          <w:sz w:val="22"/>
          <w:szCs w:val="22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35"/>
        <w:gridCol w:w="8293"/>
      </w:tblGrid>
      <w:tr w:rsidR="009612C7" w:rsidRPr="009612C7" w14:paraId="017855CA" w14:textId="77777777" w:rsidTr="009612C7">
        <w:tc>
          <w:tcPr>
            <w:tcW w:w="0" w:type="auto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1A3A5C"/>
            <w:tcMar>
              <w:top w:w="100" w:type="dxa"/>
              <w:left w:w="120" w:type="dxa"/>
              <w:bottom w:w="100" w:type="dxa"/>
              <w:right w:w="120" w:type="dxa"/>
            </w:tcMar>
            <w:hideMark/>
          </w:tcPr>
          <w:p w14:paraId="3DFF8036" w14:textId="77777777" w:rsidR="009612C7" w:rsidRPr="009612C7" w:rsidRDefault="009612C7" w:rsidP="009612C7">
            <w:pPr>
              <w:spacing w:after="0" w:line="240" w:lineRule="auto"/>
              <w:jc w:val="both"/>
              <w:rPr>
                <w:rFonts w:ascii="Century Gothic" w:hAnsi="Century Gothic"/>
                <w:sz w:val="22"/>
                <w:szCs w:val="22"/>
              </w:rPr>
            </w:pPr>
            <w:r w:rsidRPr="009612C7">
              <w:rPr>
                <w:rFonts w:ascii="Century Gothic" w:hAnsi="Century Gothic"/>
                <w:b/>
                <w:bCs/>
                <w:sz w:val="22"/>
                <w:szCs w:val="22"/>
              </w:rPr>
              <w:t>C2</w:t>
            </w:r>
          </w:p>
        </w:tc>
        <w:tc>
          <w:tcPr>
            <w:tcW w:w="0" w:type="auto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5F8FC"/>
            <w:tcMar>
              <w:top w:w="100" w:type="dxa"/>
              <w:left w:w="160" w:type="dxa"/>
              <w:bottom w:w="100" w:type="dxa"/>
              <w:right w:w="160" w:type="dxa"/>
            </w:tcMar>
            <w:hideMark/>
          </w:tcPr>
          <w:p w14:paraId="0DE6750F" w14:textId="1F365CB3" w:rsidR="009612C7" w:rsidRPr="009612C7" w:rsidRDefault="009612C7" w:rsidP="009612C7">
            <w:pPr>
              <w:spacing w:after="0" w:line="240" w:lineRule="auto"/>
              <w:jc w:val="both"/>
              <w:rPr>
                <w:rFonts w:ascii="Century Gothic" w:hAnsi="Century Gothic"/>
                <w:sz w:val="22"/>
                <w:szCs w:val="22"/>
              </w:rPr>
            </w:pPr>
            <w:r w:rsidRPr="009612C7">
              <w:rPr>
                <w:rFonts w:ascii="Century Gothic" w:hAnsi="Century Gothic"/>
                <w:b/>
                <w:bCs/>
                <w:sz w:val="22"/>
                <w:szCs w:val="22"/>
              </w:rPr>
              <w:t xml:space="preserve">Requisitos de la Sentencia: </w:t>
            </w:r>
            <w:r w:rsidR="007C31B7" w:rsidRPr="009612C7">
              <w:rPr>
                <w:rFonts w:ascii="Century Gothic" w:hAnsi="Century Gothic"/>
                <w:b/>
                <w:bCs/>
                <w:sz w:val="22"/>
                <w:szCs w:val="22"/>
              </w:rPr>
              <w:t>Motivación</w:t>
            </w:r>
            <w:r w:rsidRPr="009612C7">
              <w:rPr>
                <w:rFonts w:ascii="Century Gothic" w:hAnsi="Century Gothic"/>
                <w:b/>
                <w:bCs/>
                <w:sz w:val="22"/>
                <w:szCs w:val="22"/>
              </w:rPr>
              <w:t xml:space="preserve"> y Fallo</w:t>
            </w:r>
          </w:p>
          <w:p w14:paraId="5D2577F8" w14:textId="4D696E31" w:rsidR="009612C7" w:rsidRPr="009612C7" w:rsidRDefault="009612C7" w:rsidP="009612C7">
            <w:pPr>
              <w:spacing w:after="0" w:line="240" w:lineRule="auto"/>
              <w:jc w:val="both"/>
              <w:rPr>
                <w:rFonts w:ascii="Century Gothic" w:hAnsi="Century Gothic"/>
                <w:sz w:val="22"/>
                <w:szCs w:val="22"/>
              </w:rPr>
            </w:pPr>
            <w:r w:rsidRPr="009612C7">
              <w:rPr>
                <w:rFonts w:ascii="Century Gothic" w:hAnsi="Century Gothic"/>
                <w:sz w:val="22"/>
                <w:szCs w:val="22"/>
              </w:rPr>
              <w:t xml:space="preserve">Estructura de la sentencia: encabezamiento, parte motiva (ratio </w:t>
            </w:r>
            <w:r w:rsidR="007C31B7" w:rsidRPr="009612C7">
              <w:rPr>
                <w:rFonts w:ascii="Century Gothic" w:hAnsi="Century Gothic"/>
                <w:sz w:val="22"/>
                <w:szCs w:val="22"/>
              </w:rPr>
              <w:t>deciden di</w:t>
            </w:r>
            <w:r w:rsidRPr="009612C7">
              <w:rPr>
                <w:rFonts w:ascii="Century Gothic" w:hAnsi="Century Gothic"/>
                <w:sz w:val="22"/>
                <w:szCs w:val="22"/>
              </w:rPr>
              <w:t xml:space="preserve">) y parte resolutiva (fallo). La ratio decidendi como fuente de derecho vinculante y su papel en el precedente judicial (Art. 7 CGP). La sentencia inhibitoria: concepto, </w:t>
            </w:r>
            <w:r w:rsidR="007C31B7" w:rsidRPr="009612C7">
              <w:rPr>
                <w:rFonts w:ascii="Century Gothic" w:hAnsi="Century Gothic"/>
                <w:sz w:val="22"/>
                <w:szCs w:val="22"/>
              </w:rPr>
              <w:t>prohibición</w:t>
            </w:r>
            <w:r w:rsidRPr="009612C7">
              <w:rPr>
                <w:rFonts w:ascii="Century Gothic" w:hAnsi="Century Gothic"/>
                <w:sz w:val="22"/>
                <w:szCs w:val="22"/>
              </w:rPr>
              <w:t xml:space="preserve"> en el Art. 280 CGP y </w:t>
            </w:r>
            <w:r w:rsidR="007C31B7" w:rsidRPr="009612C7">
              <w:rPr>
                <w:rFonts w:ascii="Century Gothic" w:hAnsi="Century Gothic"/>
                <w:sz w:val="22"/>
                <w:szCs w:val="22"/>
              </w:rPr>
              <w:t>excepción</w:t>
            </w:r>
            <w:r w:rsidRPr="009612C7">
              <w:rPr>
                <w:rFonts w:ascii="Century Gothic" w:hAnsi="Century Gothic"/>
                <w:sz w:val="22"/>
                <w:szCs w:val="22"/>
              </w:rPr>
              <w:t xml:space="preserve">. El principio de congruencia (Art. 281 CGP): ultra petita, extra petita, citra petita y excepciones al principio (familia, laboral). </w:t>
            </w:r>
            <w:r w:rsidR="007C31B7" w:rsidRPr="009612C7">
              <w:rPr>
                <w:rFonts w:ascii="Century Gothic" w:hAnsi="Century Gothic"/>
                <w:sz w:val="22"/>
                <w:szCs w:val="22"/>
              </w:rPr>
              <w:t>Aclaración</w:t>
            </w:r>
            <w:r w:rsidRPr="009612C7">
              <w:rPr>
                <w:rFonts w:ascii="Century Gothic" w:hAnsi="Century Gothic"/>
                <w:sz w:val="22"/>
                <w:szCs w:val="22"/>
              </w:rPr>
              <w:t xml:space="preserve">, </w:t>
            </w:r>
            <w:r w:rsidR="007C31B7" w:rsidRPr="009612C7">
              <w:rPr>
                <w:rFonts w:ascii="Century Gothic" w:hAnsi="Century Gothic"/>
                <w:sz w:val="22"/>
                <w:szCs w:val="22"/>
              </w:rPr>
              <w:t>corrección</w:t>
            </w:r>
            <w:r w:rsidRPr="009612C7">
              <w:rPr>
                <w:rFonts w:ascii="Century Gothic" w:hAnsi="Century Gothic"/>
                <w:sz w:val="22"/>
                <w:szCs w:val="22"/>
              </w:rPr>
              <w:t xml:space="preserve"> y </w:t>
            </w:r>
            <w:r w:rsidR="007C31B7" w:rsidRPr="009612C7">
              <w:rPr>
                <w:rFonts w:ascii="Century Gothic" w:hAnsi="Century Gothic"/>
                <w:sz w:val="22"/>
                <w:szCs w:val="22"/>
              </w:rPr>
              <w:t>complementación</w:t>
            </w:r>
            <w:r w:rsidRPr="009612C7">
              <w:rPr>
                <w:rFonts w:ascii="Century Gothic" w:hAnsi="Century Gothic"/>
                <w:sz w:val="22"/>
                <w:szCs w:val="22"/>
              </w:rPr>
              <w:t xml:space="preserve"> de sentencias (Art. 285 CGP). </w:t>
            </w:r>
          </w:p>
        </w:tc>
      </w:tr>
    </w:tbl>
    <w:p w14:paraId="007FE10E" w14:textId="77777777" w:rsidR="009612C7" w:rsidRPr="009612C7" w:rsidRDefault="009612C7" w:rsidP="009612C7">
      <w:pPr>
        <w:spacing w:after="0" w:line="240" w:lineRule="auto"/>
        <w:jc w:val="both"/>
        <w:rPr>
          <w:rFonts w:ascii="Century Gothic" w:hAnsi="Century Gothic"/>
          <w:sz w:val="22"/>
          <w:szCs w:val="22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35"/>
        <w:gridCol w:w="8293"/>
      </w:tblGrid>
      <w:tr w:rsidR="009612C7" w:rsidRPr="009612C7" w14:paraId="5AF4E896" w14:textId="77777777" w:rsidTr="009612C7">
        <w:tc>
          <w:tcPr>
            <w:tcW w:w="0" w:type="auto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1A3A5C"/>
            <w:tcMar>
              <w:top w:w="100" w:type="dxa"/>
              <w:left w:w="120" w:type="dxa"/>
              <w:bottom w:w="100" w:type="dxa"/>
              <w:right w:w="120" w:type="dxa"/>
            </w:tcMar>
            <w:hideMark/>
          </w:tcPr>
          <w:p w14:paraId="44E9922E" w14:textId="77777777" w:rsidR="009612C7" w:rsidRPr="009612C7" w:rsidRDefault="009612C7" w:rsidP="009612C7">
            <w:pPr>
              <w:spacing w:after="0" w:line="240" w:lineRule="auto"/>
              <w:jc w:val="both"/>
              <w:rPr>
                <w:rFonts w:ascii="Century Gothic" w:hAnsi="Century Gothic"/>
                <w:sz w:val="22"/>
                <w:szCs w:val="22"/>
              </w:rPr>
            </w:pPr>
            <w:r w:rsidRPr="009612C7">
              <w:rPr>
                <w:rFonts w:ascii="Century Gothic" w:hAnsi="Century Gothic"/>
                <w:b/>
                <w:bCs/>
                <w:sz w:val="22"/>
                <w:szCs w:val="22"/>
              </w:rPr>
              <w:t>C3</w:t>
            </w:r>
          </w:p>
        </w:tc>
        <w:tc>
          <w:tcPr>
            <w:tcW w:w="0" w:type="auto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5F8FC"/>
            <w:tcMar>
              <w:top w:w="100" w:type="dxa"/>
              <w:left w:w="160" w:type="dxa"/>
              <w:bottom w:w="100" w:type="dxa"/>
              <w:right w:w="160" w:type="dxa"/>
            </w:tcMar>
            <w:hideMark/>
          </w:tcPr>
          <w:p w14:paraId="4F99C79C" w14:textId="0F28E308" w:rsidR="009612C7" w:rsidRPr="009612C7" w:rsidRDefault="009612C7" w:rsidP="009612C7">
            <w:pPr>
              <w:spacing w:after="0" w:line="240" w:lineRule="auto"/>
              <w:jc w:val="both"/>
              <w:rPr>
                <w:rFonts w:ascii="Century Gothic" w:hAnsi="Century Gothic"/>
                <w:sz w:val="22"/>
                <w:szCs w:val="22"/>
              </w:rPr>
            </w:pPr>
            <w:r w:rsidRPr="009612C7">
              <w:rPr>
                <w:rFonts w:ascii="Century Gothic" w:hAnsi="Century Gothic"/>
                <w:b/>
                <w:bCs/>
                <w:sz w:val="22"/>
                <w:szCs w:val="22"/>
              </w:rPr>
              <w:t xml:space="preserve">Recursos Ordinarios I: Recurso de </w:t>
            </w:r>
            <w:r w:rsidR="007C31B7" w:rsidRPr="009612C7">
              <w:rPr>
                <w:rFonts w:ascii="Century Gothic" w:hAnsi="Century Gothic"/>
                <w:b/>
                <w:bCs/>
                <w:sz w:val="22"/>
                <w:szCs w:val="22"/>
              </w:rPr>
              <w:t>Reposición</w:t>
            </w:r>
          </w:p>
          <w:p w14:paraId="598B958B" w14:textId="6212B61E" w:rsidR="009612C7" w:rsidRPr="009612C7" w:rsidRDefault="009612C7" w:rsidP="009612C7">
            <w:pPr>
              <w:spacing w:after="0" w:line="240" w:lineRule="auto"/>
              <w:jc w:val="both"/>
              <w:rPr>
                <w:rFonts w:ascii="Century Gothic" w:hAnsi="Century Gothic"/>
                <w:sz w:val="22"/>
                <w:szCs w:val="22"/>
              </w:rPr>
            </w:pPr>
            <w:r w:rsidRPr="009612C7">
              <w:rPr>
                <w:rFonts w:ascii="Century Gothic" w:hAnsi="Century Gothic"/>
                <w:sz w:val="22"/>
                <w:szCs w:val="22"/>
              </w:rPr>
              <w:t xml:space="preserve">Sistema de recursos en el CGP: ordinarios vs. extraordinarios. El recurso de </w:t>
            </w:r>
            <w:r w:rsidR="007C31B7" w:rsidRPr="009612C7">
              <w:rPr>
                <w:rFonts w:ascii="Century Gothic" w:hAnsi="Century Gothic"/>
                <w:sz w:val="22"/>
                <w:szCs w:val="22"/>
              </w:rPr>
              <w:t>reposición</w:t>
            </w:r>
            <w:r w:rsidRPr="009612C7">
              <w:rPr>
                <w:rFonts w:ascii="Century Gothic" w:hAnsi="Century Gothic"/>
                <w:sz w:val="22"/>
                <w:szCs w:val="22"/>
              </w:rPr>
              <w:t xml:space="preserve"> (Arts. 317-319 CGP): contra todos los autos, ante el mismo juez. Termino: 3 dias </w:t>
            </w:r>
            <w:r w:rsidR="007C31B7" w:rsidRPr="009612C7">
              <w:rPr>
                <w:rFonts w:ascii="Century Gothic" w:hAnsi="Century Gothic"/>
                <w:sz w:val="22"/>
                <w:szCs w:val="22"/>
              </w:rPr>
              <w:t>hábiles</w:t>
            </w:r>
            <w:r w:rsidRPr="009612C7">
              <w:rPr>
                <w:rFonts w:ascii="Century Gothic" w:hAnsi="Century Gothic"/>
                <w:sz w:val="22"/>
                <w:szCs w:val="22"/>
              </w:rPr>
              <w:t xml:space="preserve"> o verbal en audiencia inmediatamente. Forma: escrito sustentado o verbal en la misma audiencia. Efecto: no suspensivo </w:t>
            </w:r>
            <w:r w:rsidR="007C31B7" w:rsidRPr="009612C7">
              <w:rPr>
                <w:rFonts w:ascii="Century Gothic" w:hAnsi="Century Gothic"/>
                <w:sz w:val="22"/>
                <w:szCs w:val="22"/>
              </w:rPr>
              <w:t>automático</w:t>
            </w:r>
            <w:r w:rsidRPr="009612C7">
              <w:rPr>
                <w:rFonts w:ascii="Century Gothic" w:hAnsi="Century Gothic"/>
                <w:sz w:val="22"/>
                <w:szCs w:val="22"/>
              </w:rPr>
              <w:t xml:space="preserve">. La </w:t>
            </w:r>
            <w:r w:rsidR="007C31B7" w:rsidRPr="009612C7">
              <w:rPr>
                <w:rFonts w:ascii="Century Gothic" w:hAnsi="Century Gothic"/>
                <w:sz w:val="22"/>
                <w:szCs w:val="22"/>
              </w:rPr>
              <w:t>reposición</w:t>
            </w:r>
            <w:r w:rsidRPr="009612C7">
              <w:rPr>
                <w:rFonts w:ascii="Century Gothic" w:hAnsi="Century Gothic"/>
                <w:sz w:val="22"/>
                <w:szCs w:val="22"/>
              </w:rPr>
              <w:t xml:space="preserve"> en audiencia como habilidad critica del abogado oral: formula verbal correcta. </w:t>
            </w:r>
            <w:r w:rsidR="007C31B7" w:rsidRPr="009612C7">
              <w:rPr>
                <w:rFonts w:ascii="Century Gothic" w:hAnsi="Century Gothic"/>
                <w:sz w:val="22"/>
                <w:szCs w:val="22"/>
              </w:rPr>
              <w:t>Decisión</w:t>
            </w:r>
            <w:r w:rsidRPr="009612C7">
              <w:rPr>
                <w:rFonts w:ascii="Century Gothic" w:hAnsi="Century Gothic"/>
                <w:sz w:val="22"/>
                <w:szCs w:val="22"/>
              </w:rPr>
              <w:t xml:space="preserve"> del juez: confirma, modifica o revoca. No hay </w:t>
            </w:r>
            <w:r w:rsidR="007C31B7" w:rsidRPr="009612C7">
              <w:rPr>
                <w:rFonts w:ascii="Century Gothic" w:hAnsi="Century Gothic"/>
                <w:sz w:val="22"/>
                <w:szCs w:val="22"/>
              </w:rPr>
              <w:t>reposición</w:t>
            </w:r>
            <w:r w:rsidRPr="009612C7">
              <w:rPr>
                <w:rFonts w:ascii="Century Gothic" w:hAnsi="Century Gothic"/>
                <w:sz w:val="22"/>
                <w:szCs w:val="22"/>
              </w:rPr>
              <w:t xml:space="preserve"> de la </w:t>
            </w:r>
            <w:r w:rsidR="007C31B7" w:rsidRPr="009612C7">
              <w:rPr>
                <w:rFonts w:ascii="Century Gothic" w:hAnsi="Century Gothic"/>
                <w:sz w:val="22"/>
                <w:szCs w:val="22"/>
              </w:rPr>
              <w:t>reposición</w:t>
            </w:r>
          </w:p>
        </w:tc>
      </w:tr>
    </w:tbl>
    <w:p w14:paraId="008B9C56" w14:textId="77777777" w:rsidR="009612C7" w:rsidRPr="009612C7" w:rsidRDefault="009612C7" w:rsidP="009612C7">
      <w:pPr>
        <w:spacing w:after="0" w:line="240" w:lineRule="auto"/>
        <w:jc w:val="both"/>
        <w:rPr>
          <w:rFonts w:ascii="Century Gothic" w:hAnsi="Century Gothic"/>
          <w:sz w:val="22"/>
          <w:szCs w:val="22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35"/>
        <w:gridCol w:w="8293"/>
      </w:tblGrid>
      <w:tr w:rsidR="009612C7" w:rsidRPr="009612C7" w14:paraId="6D0E5F3D" w14:textId="77777777" w:rsidTr="009612C7">
        <w:tc>
          <w:tcPr>
            <w:tcW w:w="0" w:type="auto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1A3A5C"/>
            <w:tcMar>
              <w:top w:w="100" w:type="dxa"/>
              <w:left w:w="120" w:type="dxa"/>
              <w:bottom w:w="100" w:type="dxa"/>
              <w:right w:w="120" w:type="dxa"/>
            </w:tcMar>
            <w:hideMark/>
          </w:tcPr>
          <w:p w14:paraId="06F93A8E" w14:textId="77777777" w:rsidR="009612C7" w:rsidRPr="009612C7" w:rsidRDefault="009612C7" w:rsidP="009612C7">
            <w:pPr>
              <w:spacing w:after="0" w:line="240" w:lineRule="auto"/>
              <w:jc w:val="both"/>
              <w:rPr>
                <w:rFonts w:ascii="Century Gothic" w:hAnsi="Century Gothic"/>
                <w:sz w:val="22"/>
                <w:szCs w:val="22"/>
              </w:rPr>
            </w:pPr>
            <w:r w:rsidRPr="009612C7">
              <w:rPr>
                <w:rFonts w:ascii="Century Gothic" w:hAnsi="Century Gothic"/>
                <w:b/>
                <w:bCs/>
                <w:sz w:val="22"/>
                <w:szCs w:val="22"/>
              </w:rPr>
              <w:t>C4</w:t>
            </w:r>
          </w:p>
        </w:tc>
        <w:tc>
          <w:tcPr>
            <w:tcW w:w="0" w:type="auto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5F8FC"/>
            <w:tcMar>
              <w:top w:w="100" w:type="dxa"/>
              <w:left w:w="160" w:type="dxa"/>
              <w:bottom w:w="100" w:type="dxa"/>
              <w:right w:w="160" w:type="dxa"/>
            </w:tcMar>
            <w:hideMark/>
          </w:tcPr>
          <w:p w14:paraId="22480C9E" w14:textId="68D0BF34" w:rsidR="009612C7" w:rsidRPr="009612C7" w:rsidRDefault="009612C7" w:rsidP="009612C7">
            <w:pPr>
              <w:spacing w:after="0" w:line="240" w:lineRule="auto"/>
              <w:jc w:val="both"/>
              <w:rPr>
                <w:rFonts w:ascii="Century Gothic" w:hAnsi="Century Gothic"/>
                <w:sz w:val="22"/>
                <w:szCs w:val="22"/>
              </w:rPr>
            </w:pPr>
            <w:r w:rsidRPr="009612C7">
              <w:rPr>
                <w:rFonts w:ascii="Century Gothic" w:hAnsi="Century Gothic"/>
                <w:b/>
                <w:bCs/>
                <w:sz w:val="22"/>
                <w:szCs w:val="22"/>
              </w:rPr>
              <w:t xml:space="preserve">Recursos Ordinarios II: Recurso de </w:t>
            </w:r>
            <w:r w:rsidR="007C31B7" w:rsidRPr="009612C7">
              <w:rPr>
                <w:rFonts w:ascii="Century Gothic" w:hAnsi="Century Gothic"/>
                <w:b/>
                <w:bCs/>
                <w:sz w:val="22"/>
                <w:szCs w:val="22"/>
              </w:rPr>
              <w:t>Apelación</w:t>
            </w:r>
          </w:p>
          <w:p w14:paraId="4118BCC3" w14:textId="02E180A2" w:rsidR="009612C7" w:rsidRPr="009612C7" w:rsidRDefault="009612C7" w:rsidP="009612C7">
            <w:pPr>
              <w:spacing w:after="0" w:line="240" w:lineRule="auto"/>
              <w:jc w:val="both"/>
              <w:rPr>
                <w:rFonts w:ascii="Century Gothic" w:hAnsi="Century Gothic"/>
                <w:sz w:val="22"/>
                <w:szCs w:val="22"/>
              </w:rPr>
            </w:pPr>
            <w:r w:rsidRPr="009612C7">
              <w:rPr>
                <w:rFonts w:ascii="Century Gothic" w:hAnsi="Century Gothic"/>
                <w:sz w:val="22"/>
                <w:szCs w:val="22"/>
              </w:rPr>
              <w:t xml:space="preserve">El recurso de </w:t>
            </w:r>
            <w:r w:rsidR="007C31B7" w:rsidRPr="009612C7">
              <w:rPr>
                <w:rFonts w:ascii="Century Gothic" w:hAnsi="Century Gothic"/>
                <w:sz w:val="22"/>
                <w:szCs w:val="22"/>
              </w:rPr>
              <w:t>apelación</w:t>
            </w:r>
            <w:r w:rsidRPr="009612C7">
              <w:rPr>
                <w:rFonts w:ascii="Century Gothic" w:hAnsi="Century Gothic"/>
                <w:sz w:val="22"/>
                <w:szCs w:val="22"/>
              </w:rPr>
              <w:t xml:space="preserve"> (Arts. 321-331 CGP): el recurso por excelencia. Tabla de providencias apelables del Art. 321. Los tres efectos: suspensivo (proceso paralizado, sentencias de </w:t>
            </w:r>
            <w:r w:rsidR="007C31B7" w:rsidRPr="009612C7">
              <w:rPr>
                <w:rFonts w:ascii="Century Gothic" w:hAnsi="Century Gothic"/>
                <w:sz w:val="22"/>
                <w:szCs w:val="22"/>
              </w:rPr>
              <w:t>la</w:t>
            </w:r>
            <w:r w:rsidRPr="009612C7">
              <w:rPr>
                <w:rFonts w:ascii="Century Gothic" w:hAnsi="Century Gothic"/>
                <w:sz w:val="22"/>
                <w:szCs w:val="22"/>
              </w:rPr>
              <w:t xml:space="preserve"> instancia), devolutivo (proceso </w:t>
            </w:r>
            <w:r w:rsidRPr="009612C7">
              <w:rPr>
                <w:rFonts w:ascii="Century Gothic" w:hAnsi="Century Gothic"/>
                <w:sz w:val="22"/>
                <w:szCs w:val="22"/>
              </w:rPr>
              <w:lastRenderedPageBreak/>
              <w:t xml:space="preserve">continua, </w:t>
            </w:r>
            <w:r w:rsidR="007C31B7" w:rsidRPr="009612C7">
              <w:rPr>
                <w:rFonts w:ascii="Century Gothic" w:hAnsi="Century Gothic"/>
                <w:sz w:val="22"/>
                <w:szCs w:val="22"/>
              </w:rPr>
              <w:t>mayoría</w:t>
            </w:r>
            <w:r w:rsidRPr="009612C7">
              <w:rPr>
                <w:rFonts w:ascii="Century Gothic" w:hAnsi="Century Gothic"/>
                <w:sz w:val="22"/>
                <w:szCs w:val="22"/>
              </w:rPr>
              <w:t xml:space="preserve"> de autos) y diferido (espera a la sentencia). Tabla de que providencias se conceden en cada efecto. Tramite: </w:t>
            </w:r>
            <w:r w:rsidR="007C31B7" w:rsidRPr="009612C7">
              <w:rPr>
                <w:rFonts w:ascii="Century Gothic" w:hAnsi="Century Gothic"/>
                <w:sz w:val="22"/>
                <w:szCs w:val="22"/>
              </w:rPr>
              <w:t>interposición</w:t>
            </w:r>
            <w:r w:rsidRPr="009612C7">
              <w:rPr>
                <w:rFonts w:ascii="Century Gothic" w:hAnsi="Century Gothic"/>
                <w:sz w:val="22"/>
                <w:szCs w:val="22"/>
              </w:rPr>
              <w:t xml:space="preserve"> (3 dias), </w:t>
            </w:r>
            <w:r w:rsidR="007C31B7" w:rsidRPr="009612C7">
              <w:rPr>
                <w:rFonts w:ascii="Century Gothic" w:hAnsi="Century Gothic"/>
                <w:sz w:val="22"/>
                <w:szCs w:val="22"/>
              </w:rPr>
              <w:t>concesión</w:t>
            </w:r>
            <w:r w:rsidRPr="009612C7">
              <w:rPr>
                <w:rFonts w:ascii="Century Gothic" w:hAnsi="Century Gothic"/>
                <w:sz w:val="22"/>
                <w:szCs w:val="22"/>
              </w:rPr>
              <w:t xml:space="preserve">, </w:t>
            </w:r>
            <w:r w:rsidR="007C31B7" w:rsidRPr="009612C7">
              <w:rPr>
                <w:rFonts w:ascii="Century Gothic" w:hAnsi="Century Gothic"/>
                <w:sz w:val="22"/>
                <w:szCs w:val="22"/>
              </w:rPr>
              <w:t>sustentación</w:t>
            </w:r>
            <w:r w:rsidRPr="009612C7">
              <w:rPr>
                <w:rFonts w:ascii="Century Gothic" w:hAnsi="Century Gothic"/>
                <w:sz w:val="22"/>
                <w:szCs w:val="22"/>
              </w:rPr>
              <w:t xml:space="preserve"> (5 dias en el superior), audiencia de </w:t>
            </w:r>
            <w:r w:rsidR="007C31B7" w:rsidRPr="009612C7">
              <w:rPr>
                <w:rFonts w:ascii="Century Gothic" w:hAnsi="Century Gothic"/>
                <w:sz w:val="22"/>
                <w:szCs w:val="22"/>
              </w:rPr>
              <w:t>decisión</w:t>
            </w:r>
            <w:r w:rsidRPr="009612C7">
              <w:rPr>
                <w:rFonts w:ascii="Century Gothic" w:hAnsi="Century Gothic"/>
                <w:sz w:val="22"/>
                <w:szCs w:val="22"/>
              </w:rPr>
              <w:t xml:space="preserve">. La reformatio in pejus y su </w:t>
            </w:r>
            <w:r w:rsidR="007C31B7" w:rsidRPr="009612C7">
              <w:rPr>
                <w:rFonts w:ascii="Century Gothic" w:hAnsi="Century Gothic"/>
                <w:sz w:val="22"/>
                <w:szCs w:val="22"/>
              </w:rPr>
              <w:t>excepción</w:t>
            </w:r>
            <w:r w:rsidRPr="009612C7">
              <w:rPr>
                <w:rFonts w:ascii="Century Gothic" w:hAnsi="Century Gothic"/>
                <w:sz w:val="22"/>
                <w:szCs w:val="22"/>
              </w:rPr>
              <w:t xml:space="preserve"> (Art. 328 CGP). </w:t>
            </w:r>
          </w:p>
        </w:tc>
      </w:tr>
    </w:tbl>
    <w:p w14:paraId="5B6899F3" w14:textId="77777777" w:rsidR="009612C7" w:rsidRPr="009612C7" w:rsidRDefault="009612C7" w:rsidP="009612C7">
      <w:pPr>
        <w:spacing w:after="0" w:line="240" w:lineRule="auto"/>
        <w:jc w:val="both"/>
        <w:rPr>
          <w:rFonts w:ascii="Century Gothic" w:hAnsi="Century Gothic"/>
          <w:sz w:val="22"/>
          <w:szCs w:val="22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35"/>
        <w:gridCol w:w="8293"/>
      </w:tblGrid>
      <w:tr w:rsidR="009612C7" w:rsidRPr="009612C7" w14:paraId="0BC4C5A7" w14:textId="77777777" w:rsidTr="009612C7">
        <w:tc>
          <w:tcPr>
            <w:tcW w:w="0" w:type="auto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1A3A5C"/>
            <w:tcMar>
              <w:top w:w="100" w:type="dxa"/>
              <w:left w:w="120" w:type="dxa"/>
              <w:bottom w:w="100" w:type="dxa"/>
              <w:right w:w="120" w:type="dxa"/>
            </w:tcMar>
            <w:hideMark/>
          </w:tcPr>
          <w:p w14:paraId="56E6E39B" w14:textId="77777777" w:rsidR="009612C7" w:rsidRPr="009612C7" w:rsidRDefault="009612C7" w:rsidP="009612C7">
            <w:pPr>
              <w:spacing w:after="0" w:line="240" w:lineRule="auto"/>
              <w:jc w:val="both"/>
              <w:rPr>
                <w:rFonts w:ascii="Century Gothic" w:hAnsi="Century Gothic"/>
                <w:sz w:val="22"/>
                <w:szCs w:val="22"/>
              </w:rPr>
            </w:pPr>
            <w:r w:rsidRPr="009612C7">
              <w:rPr>
                <w:rFonts w:ascii="Century Gothic" w:hAnsi="Century Gothic"/>
                <w:b/>
                <w:bCs/>
                <w:sz w:val="22"/>
                <w:szCs w:val="22"/>
              </w:rPr>
              <w:t>C5</w:t>
            </w:r>
          </w:p>
        </w:tc>
        <w:tc>
          <w:tcPr>
            <w:tcW w:w="0" w:type="auto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5F8FC"/>
            <w:tcMar>
              <w:top w:w="100" w:type="dxa"/>
              <w:left w:w="160" w:type="dxa"/>
              <w:bottom w:w="100" w:type="dxa"/>
              <w:right w:w="160" w:type="dxa"/>
            </w:tcMar>
            <w:hideMark/>
          </w:tcPr>
          <w:p w14:paraId="72B69376" w14:textId="3588071D" w:rsidR="009612C7" w:rsidRPr="009612C7" w:rsidRDefault="009612C7" w:rsidP="009612C7">
            <w:pPr>
              <w:spacing w:after="0" w:line="240" w:lineRule="auto"/>
              <w:jc w:val="both"/>
              <w:rPr>
                <w:rFonts w:ascii="Century Gothic" w:hAnsi="Century Gothic"/>
                <w:sz w:val="22"/>
                <w:szCs w:val="22"/>
              </w:rPr>
            </w:pPr>
            <w:r w:rsidRPr="009612C7">
              <w:rPr>
                <w:rFonts w:ascii="Century Gothic" w:hAnsi="Century Gothic"/>
                <w:b/>
                <w:bCs/>
                <w:sz w:val="22"/>
                <w:szCs w:val="22"/>
              </w:rPr>
              <w:t xml:space="preserve">Recursos Extraordinarios: </w:t>
            </w:r>
            <w:r w:rsidR="007C31B7" w:rsidRPr="009612C7">
              <w:rPr>
                <w:rFonts w:ascii="Century Gothic" w:hAnsi="Century Gothic"/>
                <w:b/>
                <w:bCs/>
                <w:sz w:val="22"/>
                <w:szCs w:val="22"/>
              </w:rPr>
              <w:t>Casación</w:t>
            </w:r>
            <w:r w:rsidRPr="009612C7">
              <w:rPr>
                <w:rFonts w:ascii="Century Gothic" w:hAnsi="Century Gothic"/>
                <w:b/>
                <w:bCs/>
                <w:sz w:val="22"/>
                <w:szCs w:val="22"/>
              </w:rPr>
              <w:t xml:space="preserve"> (</w:t>
            </w:r>
            <w:r w:rsidR="007C31B7" w:rsidRPr="009612C7">
              <w:rPr>
                <w:rFonts w:ascii="Century Gothic" w:hAnsi="Century Gothic"/>
                <w:b/>
                <w:bCs/>
                <w:sz w:val="22"/>
                <w:szCs w:val="22"/>
              </w:rPr>
              <w:t>Introducción</w:t>
            </w:r>
            <w:r w:rsidRPr="009612C7">
              <w:rPr>
                <w:rFonts w:ascii="Century Gothic" w:hAnsi="Century Gothic"/>
                <w:b/>
                <w:bCs/>
                <w:sz w:val="22"/>
                <w:szCs w:val="22"/>
              </w:rPr>
              <w:t>)</w:t>
            </w:r>
          </w:p>
          <w:p w14:paraId="6144141F" w14:textId="20107143" w:rsidR="009612C7" w:rsidRPr="009612C7" w:rsidRDefault="009612C7" w:rsidP="009612C7">
            <w:pPr>
              <w:spacing w:after="0" w:line="240" w:lineRule="auto"/>
              <w:jc w:val="both"/>
              <w:rPr>
                <w:rFonts w:ascii="Century Gothic" w:hAnsi="Century Gothic"/>
                <w:sz w:val="22"/>
                <w:szCs w:val="22"/>
              </w:rPr>
            </w:pPr>
            <w:r w:rsidRPr="009612C7">
              <w:rPr>
                <w:rFonts w:ascii="Century Gothic" w:hAnsi="Century Gothic"/>
                <w:sz w:val="22"/>
                <w:szCs w:val="22"/>
              </w:rPr>
              <w:t xml:space="preserve">La </w:t>
            </w:r>
            <w:r w:rsidR="007C31B7" w:rsidRPr="009612C7">
              <w:rPr>
                <w:rFonts w:ascii="Century Gothic" w:hAnsi="Century Gothic"/>
                <w:sz w:val="22"/>
                <w:szCs w:val="22"/>
              </w:rPr>
              <w:t>casación</w:t>
            </w:r>
            <w:r w:rsidRPr="009612C7">
              <w:rPr>
                <w:rFonts w:ascii="Century Gothic" w:hAnsi="Century Gothic"/>
                <w:sz w:val="22"/>
                <w:szCs w:val="22"/>
              </w:rPr>
              <w:t xml:space="preserve"> vs. la </w:t>
            </w:r>
            <w:r w:rsidR="007C31B7" w:rsidRPr="009612C7">
              <w:rPr>
                <w:rFonts w:ascii="Century Gothic" w:hAnsi="Century Gothic"/>
                <w:sz w:val="22"/>
                <w:szCs w:val="22"/>
              </w:rPr>
              <w:t>apelación</w:t>
            </w:r>
            <w:r w:rsidRPr="009612C7">
              <w:rPr>
                <w:rFonts w:ascii="Century Gothic" w:hAnsi="Century Gothic"/>
                <w:sz w:val="22"/>
                <w:szCs w:val="22"/>
              </w:rPr>
              <w:t xml:space="preserve">: tabla comparativa en seis criterios (finalidad, juez, conocimiento del caso, requisitos, cuantia minima, resultado). Finalidad de la </w:t>
            </w:r>
            <w:r w:rsidR="007C31B7" w:rsidRPr="009612C7">
              <w:rPr>
                <w:rFonts w:ascii="Century Gothic" w:hAnsi="Century Gothic"/>
                <w:sz w:val="22"/>
                <w:szCs w:val="22"/>
              </w:rPr>
              <w:t>casación</w:t>
            </w:r>
            <w:r w:rsidRPr="009612C7">
              <w:rPr>
                <w:rFonts w:ascii="Century Gothic" w:hAnsi="Century Gothic"/>
                <w:sz w:val="22"/>
                <w:szCs w:val="22"/>
              </w:rPr>
              <w:t xml:space="preserve">: unificar jurisprudencia y defender el ordenamiento. La Corte Suprema de Justicia, Sala Civil. Cuantia minima vigente 2025: 1000 SMLMV. Las seis causales taxativas del Art. 336 CGP: </w:t>
            </w:r>
            <w:r w:rsidR="007C31B7" w:rsidRPr="009612C7">
              <w:rPr>
                <w:rFonts w:ascii="Century Gothic" w:hAnsi="Century Gothic"/>
                <w:sz w:val="22"/>
                <w:szCs w:val="22"/>
              </w:rPr>
              <w:t>violación</w:t>
            </w:r>
            <w:r w:rsidRPr="009612C7">
              <w:rPr>
                <w:rFonts w:ascii="Century Gothic" w:hAnsi="Century Gothic"/>
                <w:sz w:val="22"/>
                <w:szCs w:val="22"/>
              </w:rPr>
              <w:t xml:space="preserve"> directa, </w:t>
            </w:r>
            <w:r w:rsidR="007C31B7" w:rsidRPr="009612C7">
              <w:rPr>
                <w:rFonts w:ascii="Century Gothic" w:hAnsi="Century Gothic"/>
                <w:sz w:val="22"/>
                <w:szCs w:val="22"/>
              </w:rPr>
              <w:t>violación</w:t>
            </w:r>
            <w:r w:rsidRPr="009612C7">
              <w:rPr>
                <w:rFonts w:ascii="Century Gothic" w:hAnsi="Century Gothic"/>
                <w:sz w:val="22"/>
                <w:szCs w:val="22"/>
              </w:rPr>
              <w:t xml:space="preserve"> indirecta por error de hecho, por error de derecho, incongruencia, </w:t>
            </w:r>
            <w:r w:rsidR="007C31B7" w:rsidRPr="009612C7">
              <w:rPr>
                <w:rFonts w:ascii="Century Gothic" w:hAnsi="Century Gothic"/>
                <w:sz w:val="22"/>
                <w:szCs w:val="22"/>
              </w:rPr>
              <w:t>oposición</w:t>
            </w:r>
            <w:r w:rsidRPr="009612C7">
              <w:rPr>
                <w:rFonts w:ascii="Century Gothic" w:hAnsi="Century Gothic"/>
                <w:sz w:val="22"/>
                <w:szCs w:val="22"/>
              </w:rPr>
              <w:t xml:space="preserve"> a cosa juzgada y </w:t>
            </w:r>
            <w:r w:rsidR="007C31B7" w:rsidRPr="009612C7">
              <w:rPr>
                <w:rFonts w:ascii="Century Gothic" w:hAnsi="Century Gothic"/>
                <w:sz w:val="22"/>
                <w:szCs w:val="22"/>
              </w:rPr>
              <w:t>decisión</w:t>
            </w:r>
            <w:r w:rsidRPr="009612C7">
              <w:rPr>
                <w:rFonts w:ascii="Century Gothic" w:hAnsi="Century Gothic"/>
                <w:sz w:val="22"/>
                <w:szCs w:val="22"/>
              </w:rPr>
              <w:t xml:space="preserve"> sobre materia conciliada. Efectos: casa y dicta sentencia de reemplazo. </w:t>
            </w:r>
          </w:p>
        </w:tc>
      </w:tr>
    </w:tbl>
    <w:p w14:paraId="16DF49B9" w14:textId="77777777" w:rsidR="009612C7" w:rsidRPr="009612C7" w:rsidRDefault="009612C7" w:rsidP="009612C7">
      <w:pPr>
        <w:spacing w:after="0" w:line="240" w:lineRule="auto"/>
        <w:jc w:val="both"/>
        <w:rPr>
          <w:rFonts w:ascii="Century Gothic" w:hAnsi="Century Gothic"/>
          <w:sz w:val="22"/>
          <w:szCs w:val="22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35"/>
        <w:gridCol w:w="8293"/>
      </w:tblGrid>
      <w:tr w:rsidR="009612C7" w:rsidRPr="009612C7" w14:paraId="150C8EE6" w14:textId="77777777" w:rsidTr="009612C7">
        <w:tc>
          <w:tcPr>
            <w:tcW w:w="0" w:type="auto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1A3A5C"/>
            <w:tcMar>
              <w:top w:w="100" w:type="dxa"/>
              <w:left w:w="120" w:type="dxa"/>
              <w:bottom w:w="100" w:type="dxa"/>
              <w:right w:w="120" w:type="dxa"/>
            </w:tcMar>
            <w:hideMark/>
          </w:tcPr>
          <w:p w14:paraId="0F1BFE93" w14:textId="77777777" w:rsidR="009612C7" w:rsidRPr="009612C7" w:rsidRDefault="009612C7" w:rsidP="009612C7">
            <w:pPr>
              <w:spacing w:after="0" w:line="240" w:lineRule="auto"/>
              <w:jc w:val="both"/>
              <w:rPr>
                <w:rFonts w:ascii="Century Gothic" w:hAnsi="Century Gothic"/>
                <w:sz w:val="22"/>
                <w:szCs w:val="22"/>
              </w:rPr>
            </w:pPr>
            <w:r w:rsidRPr="009612C7">
              <w:rPr>
                <w:rFonts w:ascii="Century Gothic" w:hAnsi="Century Gothic"/>
                <w:b/>
                <w:bCs/>
                <w:sz w:val="22"/>
                <w:szCs w:val="22"/>
              </w:rPr>
              <w:t>C6</w:t>
            </w:r>
          </w:p>
        </w:tc>
        <w:tc>
          <w:tcPr>
            <w:tcW w:w="0" w:type="auto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5F8FC"/>
            <w:tcMar>
              <w:top w:w="100" w:type="dxa"/>
              <w:left w:w="160" w:type="dxa"/>
              <w:bottom w:w="100" w:type="dxa"/>
              <w:right w:w="160" w:type="dxa"/>
            </w:tcMar>
            <w:hideMark/>
          </w:tcPr>
          <w:p w14:paraId="40020201" w14:textId="77777777" w:rsidR="009612C7" w:rsidRPr="009612C7" w:rsidRDefault="009612C7" w:rsidP="009612C7">
            <w:pPr>
              <w:spacing w:after="0" w:line="240" w:lineRule="auto"/>
              <w:jc w:val="both"/>
              <w:rPr>
                <w:rFonts w:ascii="Century Gothic" w:hAnsi="Century Gothic"/>
                <w:sz w:val="22"/>
                <w:szCs w:val="22"/>
              </w:rPr>
            </w:pPr>
            <w:r w:rsidRPr="009612C7">
              <w:rPr>
                <w:rFonts w:ascii="Century Gothic" w:hAnsi="Century Gothic"/>
                <w:b/>
                <w:bCs/>
                <w:sz w:val="22"/>
                <w:szCs w:val="22"/>
              </w:rPr>
              <w:t>Nulidades Procesales</w:t>
            </w:r>
          </w:p>
          <w:p w14:paraId="2813A779" w14:textId="31D5E9D7" w:rsidR="009612C7" w:rsidRPr="009612C7" w:rsidRDefault="009612C7" w:rsidP="009612C7">
            <w:pPr>
              <w:spacing w:after="0" w:line="240" w:lineRule="auto"/>
              <w:jc w:val="both"/>
              <w:rPr>
                <w:rFonts w:ascii="Century Gothic" w:hAnsi="Century Gothic"/>
                <w:sz w:val="22"/>
                <w:szCs w:val="22"/>
              </w:rPr>
            </w:pPr>
            <w:r w:rsidRPr="009612C7">
              <w:rPr>
                <w:rFonts w:ascii="Century Gothic" w:hAnsi="Century Gothic"/>
                <w:sz w:val="22"/>
                <w:szCs w:val="22"/>
              </w:rPr>
              <w:t>Concepto y fundamento constitucional (Art. 29 C.P.). Sistema restrictivo del CGP: principio de especificidad y principio de trascendencia. Tabla de las ocho causales del Art. 133 CGP con tipo (</w:t>
            </w:r>
            <w:r w:rsidR="007C31B7" w:rsidRPr="009612C7">
              <w:rPr>
                <w:rFonts w:ascii="Century Gothic" w:hAnsi="Century Gothic"/>
                <w:sz w:val="22"/>
                <w:szCs w:val="22"/>
              </w:rPr>
              <w:t>insanable</w:t>
            </w:r>
            <w:r w:rsidRPr="009612C7">
              <w:rPr>
                <w:rFonts w:ascii="Century Gothic" w:hAnsi="Century Gothic"/>
                <w:sz w:val="22"/>
                <w:szCs w:val="22"/>
              </w:rPr>
              <w:t xml:space="preserve">/saneable) y ejemplo. Nulidades </w:t>
            </w:r>
            <w:r w:rsidR="007C31B7" w:rsidRPr="009612C7">
              <w:rPr>
                <w:rFonts w:ascii="Century Gothic" w:hAnsi="Century Gothic"/>
                <w:sz w:val="22"/>
                <w:szCs w:val="22"/>
              </w:rPr>
              <w:t>insanables</w:t>
            </w:r>
            <w:r w:rsidRPr="009612C7">
              <w:rPr>
                <w:rFonts w:ascii="Century Gothic" w:hAnsi="Century Gothic"/>
                <w:sz w:val="22"/>
                <w:szCs w:val="22"/>
              </w:rPr>
              <w:t xml:space="preserve">: cualquier estado del proceso, de oficio o a peticion. Nulidades </w:t>
            </w:r>
            <w:r w:rsidR="007C31B7" w:rsidRPr="009612C7">
              <w:rPr>
                <w:rFonts w:ascii="Century Gothic" w:hAnsi="Century Gothic"/>
                <w:sz w:val="22"/>
                <w:szCs w:val="22"/>
              </w:rPr>
              <w:t>sanables</w:t>
            </w:r>
            <w:r w:rsidRPr="009612C7">
              <w:rPr>
                <w:rFonts w:ascii="Century Gothic" w:hAnsi="Century Gothic"/>
                <w:sz w:val="22"/>
                <w:szCs w:val="22"/>
              </w:rPr>
              <w:t xml:space="preserve">: alegar en la siguiente audiencia o dentro de 5 dias </w:t>
            </w:r>
            <w:r w:rsidR="007C31B7" w:rsidRPr="009612C7">
              <w:rPr>
                <w:rFonts w:ascii="Century Gothic" w:hAnsi="Century Gothic"/>
                <w:sz w:val="22"/>
                <w:szCs w:val="22"/>
              </w:rPr>
              <w:t>hábiles</w:t>
            </w:r>
            <w:r w:rsidRPr="009612C7">
              <w:rPr>
                <w:rFonts w:ascii="Century Gothic" w:hAnsi="Century Gothic"/>
                <w:sz w:val="22"/>
                <w:szCs w:val="22"/>
              </w:rPr>
              <w:t xml:space="preserve">. Saneamiento </w:t>
            </w:r>
            <w:r w:rsidR="007C31B7" w:rsidRPr="009612C7">
              <w:rPr>
                <w:rFonts w:ascii="Century Gothic" w:hAnsi="Century Gothic"/>
                <w:sz w:val="22"/>
                <w:szCs w:val="22"/>
              </w:rPr>
              <w:t>tácito</w:t>
            </w:r>
            <w:r w:rsidRPr="009612C7">
              <w:rPr>
                <w:rFonts w:ascii="Century Gothic" w:hAnsi="Century Gothic"/>
                <w:sz w:val="22"/>
                <w:szCs w:val="22"/>
              </w:rPr>
              <w:t xml:space="preserve">. Efectos de la declaratoria: </w:t>
            </w:r>
            <w:r w:rsidR="007C31B7" w:rsidRPr="009612C7">
              <w:rPr>
                <w:rFonts w:ascii="Century Gothic" w:hAnsi="Century Gothic"/>
                <w:sz w:val="22"/>
                <w:szCs w:val="22"/>
              </w:rPr>
              <w:t>retroacción</w:t>
            </w:r>
            <w:r w:rsidRPr="009612C7">
              <w:rPr>
                <w:rFonts w:ascii="Century Gothic" w:hAnsi="Century Gothic"/>
                <w:sz w:val="22"/>
                <w:szCs w:val="22"/>
              </w:rPr>
              <w:t xml:space="preserve">, principio de </w:t>
            </w:r>
            <w:r w:rsidR="007C31B7" w:rsidRPr="009612C7">
              <w:rPr>
                <w:rFonts w:ascii="Century Gothic" w:hAnsi="Century Gothic"/>
                <w:sz w:val="22"/>
                <w:szCs w:val="22"/>
              </w:rPr>
              <w:t>conservación</w:t>
            </w:r>
            <w:r w:rsidRPr="009612C7">
              <w:rPr>
                <w:rFonts w:ascii="Century Gothic" w:hAnsi="Century Gothic"/>
                <w:sz w:val="22"/>
                <w:szCs w:val="22"/>
              </w:rPr>
              <w:t xml:space="preserve"> de actos </w:t>
            </w:r>
            <w:r w:rsidR="007C31B7" w:rsidRPr="009612C7">
              <w:rPr>
                <w:rFonts w:ascii="Century Gothic" w:hAnsi="Century Gothic"/>
                <w:sz w:val="22"/>
                <w:szCs w:val="22"/>
              </w:rPr>
              <w:t>válidos</w:t>
            </w:r>
          </w:p>
        </w:tc>
      </w:tr>
    </w:tbl>
    <w:p w14:paraId="1DD2BB0A" w14:textId="77777777" w:rsidR="009612C7" w:rsidRPr="009612C7" w:rsidRDefault="009612C7" w:rsidP="009612C7">
      <w:pPr>
        <w:spacing w:after="0" w:line="240" w:lineRule="auto"/>
        <w:jc w:val="both"/>
        <w:rPr>
          <w:rFonts w:ascii="Century Gothic" w:hAnsi="Century Gothic"/>
          <w:sz w:val="22"/>
          <w:szCs w:val="22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35"/>
        <w:gridCol w:w="8293"/>
      </w:tblGrid>
      <w:tr w:rsidR="009612C7" w:rsidRPr="009612C7" w14:paraId="17CAD0B6" w14:textId="77777777" w:rsidTr="009612C7">
        <w:tc>
          <w:tcPr>
            <w:tcW w:w="0" w:type="auto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1A3A5C"/>
            <w:tcMar>
              <w:top w:w="100" w:type="dxa"/>
              <w:left w:w="120" w:type="dxa"/>
              <w:bottom w:w="100" w:type="dxa"/>
              <w:right w:w="120" w:type="dxa"/>
            </w:tcMar>
            <w:hideMark/>
          </w:tcPr>
          <w:p w14:paraId="385E2BED" w14:textId="77777777" w:rsidR="009612C7" w:rsidRPr="009612C7" w:rsidRDefault="009612C7" w:rsidP="009612C7">
            <w:pPr>
              <w:spacing w:after="0" w:line="240" w:lineRule="auto"/>
              <w:jc w:val="both"/>
              <w:rPr>
                <w:rFonts w:ascii="Century Gothic" w:hAnsi="Century Gothic"/>
                <w:sz w:val="22"/>
                <w:szCs w:val="22"/>
              </w:rPr>
            </w:pPr>
            <w:r w:rsidRPr="009612C7">
              <w:rPr>
                <w:rFonts w:ascii="Century Gothic" w:hAnsi="Century Gothic"/>
                <w:b/>
                <w:bCs/>
                <w:sz w:val="22"/>
                <w:szCs w:val="22"/>
              </w:rPr>
              <w:t>C7</w:t>
            </w:r>
          </w:p>
        </w:tc>
        <w:tc>
          <w:tcPr>
            <w:tcW w:w="0" w:type="auto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5F8FC"/>
            <w:tcMar>
              <w:top w:w="100" w:type="dxa"/>
              <w:left w:w="160" w:type="dxa"/>
              <w:bottom w:w="100" w:type="dxa"/>
              <w:right w:w="160" w:type="dxa"/>
            </w:tcMar>
            <w:hideMark/>
          </w:tcPr>
          <w:p w14:paraId="0FC7ECE8" w14:textId="72096388" w:rsidR="009612C7" w:rsidRPr="009612C7" w:rsidRDefault="009612C7" w:rsidP="009612C7">
            <w:pPr>
              <w:spacing w:after="0" w:line="240" w:lineRule="auto"/>
              <w:jc w:val="both"/>
              <w:rPr>
                <w:rFonts w:ascii="Century Gothic" w:hAnsi="Century Gothic"/>
                <w:sz w:val="22"/>
                <w:szCs w:val="22"/>
              </w:rPr>
            </w:pPr>
            <w:r w:rsidRPr="009612C7">
              <w:rPr>
                <w:rFonts w:ascii="Century Gothic" w:hAnsi="Century Gothic"/>
                <w:b/>
                <w:bCs/>
                <w:sz w:val="22"/>
                <w:szCs w:val="22"/>
              </w:rPr>
              <w:t xml:space="preserve">Saneamiento del Proceso y </w:t>
            </w:r>
            <w:r w:rsidR="007C31B7" w:rsidRPr="009612C7">
              <w:rPr>
                <w:rFonts w:ascii="Century Gothic" w:hAnsi="Century Gothic"/>
                <w:b/>
                <w:bCs/>
                <w:sz w:val="22"/>
                <w:szCs w:val="22"/>
              </w:rPr>
              <w:t>Economía</w:t>
            </w:r>
            <w:r w:rsidRPr="009612C7">
              <w:rPr>
                <w:rFonts w:ascii="Century Gothic" w:hAnsi="Century Gothic"/>
                <w:b/>
                <w:bCs/>
                <w:sz w:val="22"/>
                <w:szCs w:val="22"/>
              </w:rPr>
              <w:t xml:space="preserve"> Procesal</w:t>
            </w:r>
          </w:p>
          <w:p w14:paraId="03D8308A" w14:textId="7678A70F" w:rsidR="009612C7" w:rsidRPr="009612C7" w:rsidRDefault="009612C7" w:rsidP="009612C7">
            <w:pPr>
              <w:spacing w:after="0" w:line="240" w:lineRule="auto"/>
              <w:jc w:val="both"/>
              <w:rPr>
                <w:rFonts w:ascii="Century Gothic" w:hAnsi="Century Gothic"/>
                <w:sz w:val="22"/>
                <w:szCs w:val="22"/>
              </w:rPr>
            </w:pPr>
            <w:r w:rsidRPr="009612C7">
              <w:rPr>
                <w:rFonts w:ascii="Century Gothic" w:hAnsi="Century Gothic"/>
                <w:sz w:val="22"/>
                <w:szCs w:val="22"/>
              </w:rPr>
              <w:t xml:space="preserve">El principio de saneamiento (Art. 132 CGP) como alternativa a la nulidad: corregir sin destruir. Los cuatro tipos de saneamiento: oficio, peticion de parte, </w:t>
            </w:r>
            <w:r w:rsidR="007C31B7" w:rsidRPr="009612C7">
              <w:rPr>
                <w:rFonts w:ascii="Century Gothic" w:hAnsi="Century Gothic"/>
                <w:sz w:val="22"/>
                <w:szCs w:val="22"/>
              </w:rPr>
              <w:t>tácito</w:t>
            </w:r>
            <w:r w:rsidRPr="009612C7">
              <w:rPr>
                <w:rFonts w:ascii="Century Gothic" w:hAnsi="Century Gothic"/>
                <w:sz w:val="22"/>
                <w:szCs w:val="22"/>
              </w:rPr>
              <w:t xml:space="preserve"> y expreso. El saneamiento en la audiencia inicial (Art. 372 </w:t>
            </w:r>
            <w:r w:rsidR="007C31B7" w:rsidRPr="009612C7">
              <w:rPr>
                <w:rFonts w:ascii="Century Gothic" w:hAnsi="Century Gothic"/>
                <w:sz w:val="22"/>
                <w:szCs w:val="22"/>
              </w:rPr>
              <w:t>núm.</w:t>
            </w:r>
            <w:r w:rsidRPr="009612C7">
              <w:rPr>
                <w:rFonts w:ascii="Century Gothic" w:hAnsi="Century Gothic"/>
                <w:sz w:val="22"/>
                <w:szCs w:val="22"/>
              </w:rPr>
              <w:t xml:space="preserve"> 2 CGP): orden de actividades, paso a paso. La </w:t>
            </w:r>
            <w:r w:rsidR="007C31B7" w:rsidRPr="009612C7">
              <w:rPr>
                <w:rFonts w:ascii="Century Gothic" w:hAnsi="Century Gothic"/>
                <w:sz w:val="22"/>
                <w:szCs w:val="22"/>
              </w:rPr>
              <w:t>corrección</w:t>
            </w:r>
            <w:r w:rsidRPr="009612C7">
              <w:rPr>
                <w:rFonts w:ascii="Century Gothic" w:hAnsi="Century Gothic"/>
                <w:sz w:val="22"/>
                <w:szCs w:val="22"/>
              </w:rPr>
              <w:t xml:space="preserve"> de errores en la sentencia: </w:t>
            </w:r>
            <w:r w:rsidR="007C31B7" w:rsidRPr="009612C7">
              <w:rPr>
                <w:rFonts w:ascii="Century Gothic" w:hAnsi="Century Gothic"/>
                <w:sz w:val="22"/>
                <w:szCs w:val="22"/>
              </w:rPr>
              <w:t>aclaración</w:t>
            </w:r>
            <w:r w:rsidRPr="009612C7">
              <w:rPr>
                <w:rFonts w:ascii="Century Gothic" w:hAnsi="Century Gothic"/>
                <w:sz w:val="22"/>
                <w:szCs w:val="22"/>
              </w:rPr>
              <w:t xml:space="preserve"> (oscuridad), </w:t>
            </w:r>
            <w:r w:rsidR="007C31B7" w:rsidRPr="009612C7">
              <w:rPr>
                <w:rFonts w:ascii="Century Gothic" w:hAnsi="Century Gothic"/>
                <w:sz w:val="22"/>
                <w:szCs w:val="22"/>
              </w:rPr>
              <w:t>corrección</w:t>
            </w:r>
            <w:r w:rsidRPr="009612C7">
              <w:rPr>
                <w:rFonts w:ascii="Century Gothic" w:hAnsi="Century Gothic"/>
                <w:sz w:val="22"/>
                <w:szCs w:val="22"/>
              </w:rPr>
              <w:t xml:space="preserve"> (errores </w:t>
            </w:r>
            <w:r w:rsidR="007C31B7" w:rsidRPr="009612C7">
              <w:rPr>
                <w:rFonts w:ascii="Century Gothic" w:hAnsi="Century Gothic"/>
                <w:sz w:val="22"/>
                <w:szCs w:val="22"/>
              </w:rPr>
              <w:t>aritméticos</w:t>
            </w:r>
            <w:r w:rsidRPr="009612C7">
              <w:rPr>
                <w:rFonts w:ascii="Century Gothic" w:hAnsi="Century Gothic"/>
                <w:sz w:val="22"/>
                <w:szCs w:val="22"/>
              </w:rPr>
              <w:t xml:space="preserve">) y </w:t>
            </w:r>
            <w:r w:rsidR="007C31B7" w:rsidRPr="009612C7">
              <w:rPr>
                <w:rFonts w:ascii="Century Gothic" w:hAnsi="Century Gothic"/>
                <w:sz w:val="22"/>
                <w:szCs w:val="22"/>
              </w:rPr>
              <w:t>complementación</w:t>
            </w:r>
            <w:r w:rsidRPr="009612C7">
              <w:rPr>
                <w:rFonts w:ascii="Century Gothic" w:hAnsi="Century Gothic"/>
                <w:sz w:val="22"/>
                <w:szCs w:val="22"/>
              </w:rPr>
              <w:t xml:space="preserve"> (citra petita, Art. 285 CGP). Tabla </w:t>
            </w:r>
            <w:r w:rsidR="007C31B7" w:rsidRPr="009612C7">
              <w:rPr>
                <w:rFonts w:ascii="Century Gothic" w:hAnsi="Century Gothic"/>
                <w:sz w:val="22"/>
                <w:szCs w:val="22"/>
              </w:rPr>
              <w:t>rápida</w:t>
            </w:r>
            <w:r w:rsidRPr="009612C7">
              <w:rPr>
                <w:rFonts w:ascii="Century Gothic" w:hAnsi="Century Gothic"/>
                <w:sz w:val="22"/>
                <w:szCs w:val="22"/>
              </w:rPr>
              <w:t xml:space="preserve"> de referencia: recursos y nulidades. </w:t>
            </w:r>
          </w:p>
        </w:tc>
      </w:tr>
    </w:tbl>
    <w:p w14:paraId="04EA55AD" w14:textId="77777777" w:rsidR="009612C7" w:rsidRPr="009612C7" w:rsidRDefault="009612C7" w:rsidP="009612C7">
      <w:pPr>
        <w:spacing w:after="0" w:line="240" w:lineRule="auto"/>
        <w:jc w:val="both"/>
        <w:rPr>
          <w:rFonts w:ascii="Century Gothic" w:hAnsi="Century Gothic"/>
          <w:sz w:val="22"/>
          <w:szCs w:val="22"/>
        </w:rPr>
      </w:pPr>
    </w:p>
    <w:p w14:paraId="2CE57137" w14:textId="77777777" w:rsidR="009612C7" w:rsidRPr="009612C7" w:rsidRDefault="009612C7" w:rsidP="009612C7">
      <w:pPr>
        <w:spacing w:after="0" w:line="240" w:lineRule="auto"/>
        <w:jc w:val="both"/>
        <w:rPr>
          <w:rFonts w:ascii="Century Gothic" w:hAnsi="Century Gothic"/>
          <w:sz w:val="22"/>
          <w:szCs w:val="22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28"/>
      </w:tblGrid>
      <w:tr w:rsidR="009612C7" w:rsidRPr="009612C7" w14:paraId="054B6F8E" w14:textId="77777777" w:rsidTr="009612C7">
        <w:tc>
          <w:tcPr>
            <w:tcW w:w="0" w:type="auto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1A5C5C"/>
            <w:tcMar>
              <w:top w:w="140" w:type="dxa"/>
              <w:left w:w="220" w:type="dxa"/>
              <w:bottom w:w="140" w:type="dxa"/>
              <w:right w:w="220" w:type="dxa"/>
            </w:tcMar>
            <w:hideMark/>
          </w:tcPr>
          <w:p w14:paraId="79351AA0" w14:textId="1AEEB5FA" w:rsidR="009612C7" w:rsidRPr="009612C7" w:rsidRDefault="009612C7" w:rsidP="009612C7">
            <w:pPr>
              <w:spacing w:after="0" w:line="240" w:lineRule="auto"/>
              <w:jc w:val="both"/>
              <w:rPr>
                <w:rFonts w:ascii="Century Gothic" w:hAnsi="Century Gothic"/>
                <w:sz w:val="22"/>
                <w:szCs w:val="22"/>
              </w:rPr>
            </w:pPr>
            <w:r w:rsidRPr="009612C7">
              <w:rPr>
                <w:rFonts w:ascii="Century Gothic" w:hAnsi="Century Gothic"/>
                <w:b/>
                <w:bCs/>
                <w:sz w:val="22"/>
                <w:szCs w:val="22"/>
              </w:rPr>
              <w:t xml:space="preserve">MODULO 6  PRUEBAS Y MECANISMOS ALTERNATIVOS DE </w:t>
            </w:r>
            <w:r w:rsidR="007C31B7" w:rsidRPr="009612C7">
              <w:rPr>
                <w:rFonts w:ascii="Century Gothic" w:hAnsi="Century Gothic"/>
                <w:b/>
                <w:bCs/>
                <w:sz w:val="22"/>
                <w:szCs w:val="22"/>
              </w:rPr>
              <w:t>SOLUCIÓN</w:t>
            </w:r>
            <w:r w:rsidRPr="009612C7">
              <w:rPr>
                <w:rFonts w:ascii="Century Gothic" w:hAnsi="Century Gothic"/>
                <w:b/>
                <w:bCs/>
                <w:sz w:val="22"/>
                <w:szCs w:val="22"/>
              </w:rPr>
              <w:t xml:space="preserve"> DE CONFLICTOS</w:t>
            </w:r>
          </w:p>
        </w:tc>
      </w:tr>
    </w:tbl>
    <w:p w14:paraId="3A033EC7" w14:textId="77777777" w:rsidR="009612C7" w:rsidRPr="009612C7" w:rsidRDefault="009612C7" w:rsidP="009612C7">
      <w:pPr>
        <w:spacing w:after="0" w:line="240" w:lineRule="auto"/>
        <w:jc w:val="both"/>
        <w:rPr>
          <w:rFonts w:ascii="Century Gothic" w:hAnsi="Century Gothic"/>
          <w:sz w:val="22"/>
          <w:szCs w:val="22"/>
        </w:rPr>
      </w:pPr>
    </w:p>
    <w:p w14:paraId="298C27DE" w14:textId="77777777" w:rsidR="009612C7" w:rsidRPr="009612C7" w:rsidRDefault="009612C7" w:rsidP="009612C7">
      <w:pPr>
        <w:spacing w:after="0" w:line="240" w:lineRule="auto"/>
        <w:jc w:val="both"/>
        <w:rPr>
          <w:rFonts w:ascii="Century Gothic" w:hAnsi="Century Gothic"/>
          <w:sz w:val="22"/>
          <w:szCs w:val="22"/>
        </w:rPr>
      </w:pPr>
      <w:r w:rsidRPr="009612C7">
        <w:rPr>
          <w:rFonts w:ascii="Century Gothic" w:hAnsi="Century Gothic"/>
          <w:b/>
          <w:bCs/>
          <w:sz w:val="22"/>
          <w:szCs w:val="22"/>
        </w:rPr>
        <w:t xml:space="preserve">Enfoque: </w:t>
      </w:r>
      <w:r w:rsidRPr="009612C7">
        <w:rPr>
          <w:rFonts w:ascii="Century Gothic" w:hAnsi="Century Gothic"/>
          <w:i/>
          <w:iCs/>
          <w:sz w:val="22"/>
          <w:szCs w:val="22"/>
        </w:rPr>
        <w:t>"Cierre Practico: Probar, Decidir y Resolver sin Juez"</w:t>
      </w:r>
    </w:p>
    <w:p w14:paraId="00E245BF" w14:textId="41B83C60" w:rsidR="009612C7" w:rsidRPr="009612C7" w:rsidRDefault="009612C7" w:rsidP="009612C7">
      <w:pPr>
        <w:spacing w:after="0" w:line="240" w:lineRule="auto"/>
        <w:jc w:val="both"/>
        <w:rPr>
          <w:rFonts w:ascii="Century Gothic" w:hAnsi="Century Gothic"/>
          <w:sz w:val="22"/>
          <w:szCs w:val="22"/>
        </w:rPr>
      </w:pPr>
      <w:r w:rsidRPr="009612C7">
        <w:rPr>
          <w:rFonts w:ascii="Century Gothic" w:hAnsi="Century Gothic"/>
          <w:sz w:val="22"/>
          <w:szCs w:val="22"/>
        </w:rPr>
        <w:t xml:space="preserve">El </w:t>
      </w:r>
      <w:r w:rsidR="007C31B7" w:rsidRPr="009612C7">
        <w:rPr>
          <w:rFonts w:ascii="Century Gothic" w:hAnsi="Century Gothic"/>
          <w:sz w:val="22"/>
          <w:szCs w:val="22"/>
        </w:rPr>
        <w:t>módulo</w:t>
      </w:r>
      <w:r w:rsidRPr="009612C7">
        <w:rPr>
          <w:rFonts w:ascii="Century Gothic" w:hAnsi="Century Gothic"/>
          <w:sz w:val="22"/>
          <w:szCs w:val="22"/>
        </w:rPr>
        <w:t xml:space="preserve"> de cierre del curso aborda dos temas complementarios que dan sentido </w:t>
      </w:r>
      <w:r w:rsidR="007C31B7" w:rsidRPr="009612C7">
        <w:rPr>
          <w:rFonts w:ascii="Century Gothic" w:hAnsi="Century Gothic"/>
          <w:sz w:val="22"/>
          <w:szCs w:val="22"/>
        </w:rPr>
        <w:t>práctico</w:t>
      </w:r>
      <w:r w:rsidRPr="009612C7">
        <w:rPr>
          <w:rFonts w:ascii="Century Gothic" w:hAnsi="Century Gothic"/>
          <w:sz w:val="22"/>
          <w:szCs w:val="22"/>
        </w:rPr>
        <w:t xml:space="preserve"> a todo lo anterior: el derecho probatorio (como se prueban los hechos que fundamentan las pretensiones) y los mecanismos alternativos de </w:t>
      </w:r>
      <w:r w:rsidR="007C31B7" w:rsidRPr="009612C7">
        <w:rPr>
          <w:rFonts w:ascii="Century Gothic" w:hAnsi="Century Gothic"/>
          <w:sz w:val="22"/>
          <w:szCs w:val="22"/>
        </w:rPr>
        <w:t>solución</w:t>
      </w:r>
      <w:r w:rsidRPr="009612C7">
        <w:rPr>
          <w:rFonts w:ascii="Century Gothic" w:hAnsi="Century Gothic"/>
          <w:sz w:val="22"/>
          <w:szCs w:val="22"/>
        </w:rPr>
        <w:t xml:space="preserve"> de conflictos (cuando es mejor evitar el proceso judicial). Se estudia la cosa juzgada como cierre definitivo del conflicto resuelto por el proceso. Este </w:t>
      </w:r>
      <w:r w:rsidR="007C31B7" w:rsidRPr="009612C7">
        <w:rPr>
          <w:rFonts w:ascii="Century Gothic" w:hAnsi="Century Gothic"/>
          <w:sz w:val="22"/>
          <w:szCs w:val="22"/>
        </w:rPr>
        <w:t>módulo</w:t>
      </w:r>
      <w:r w:rsidRPr="009612C7">
        <w:rPr>
          <w:rFonts w:ascii="Century Gothic" w:hAnsi="Century Gothic"/>
          <w:sz w:val="22"/>
          <w:szCs w:val="22"/>
        </w:rPr>
        <w:t xml:space="preserve"> integra los </w:t>
      </w:r>
      <w:r w:rsidRPr="009612C7">
        <w:rPr>
          <w:rFonts w:ascii="Century Gothic" w:hAnsi="Century Gothic"/>
          <w:sz w:val="22"/>
          <w:szCs w:val="22"/>
        </w:rPr>
        <w:lastRenderedPageBreak/>
        <w:t xml:space="preserve">conocimientos </w:t>
      </w:r>
      <w:r w:rsidR="007C31B7" w:rsidRPr="009612C7">
        <w:rPr>
          <w:rFonts w:ascii="Century Gothic" w:hAnsi="Century Gothic"/>
          <w:sz w:val="22"/>
          <w:szCs w:val="22"/>
        </w:rPr>
        <w:t>teóricos</w:t>
      </w:r>
      <w:r w:rsidRPr="009612C7">
        <w:rPr>
          <w:rFonts w:ascii="Century Gothic" w:hAnsi="Century Gothic"/>
          <w:sz w:val="22"/>
          <w:szCs w:val="22"/>
        </w:rPr>
        <w:t xml:space="preserve"> del curso con las habilidades practicas del litigante civil colombiano.</w:t>
      </w:r>
    </w:p>
    <w:p w14:paraId="039A588D" w14:textId="77777777" w:rsidR="009612C7" w:rsidRPr="009612C7" w:rsidRDefault="009612C7" w:rsidP="009612C7">
      <w:pPr>
        <w:spacing w:after="0" w:line="240" w:lineRule="auto"/>
        <w:jc w:val="both"/>
        <w:rPr>
          <w:rFonts w:ascii="Century Gothic" w:hAnsi="Century Gothic"/>
          <w:sz w:val="22"/>
          <w:szCs w:val="22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35"/>
        <w:gridCol w:w="8293"/>
      </w:tblGrid>
      <w:tr w:rsidR="009612C7" w:rsidRPr="009612C7" w14:paraId="0123B60B" w14:textId="77777777" w:rsidTr="009612C7">
        <w:tc>
          <w:tcPr>
            <w:tcW w:w="0" w:type="auto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1A3A5C"/>
            <w:tcMar>
              <w:top w:w="100" w:type="dxa"/>
              <w:left w:w="120" w:type="dxa"/>
              <w:bottom w:w="100" w:type="dxa"/>
              <w:right w:w="120" w:type="dxa"/>
            </w:tcMar>
            <w:hideMark/>
          </w:tcPr>
          <w:p w14:paraId="5343DA7C" w14:textId="77777777" w:rsidR="009612C7" w:rsidRPr="009612C7" w:rsidRDefault="009612C7" w:rsidP="009612C7">
            <w:pPr>
              <w:spacing w:after="0" w:line="240" w:lineRule="auto"/>
              <w:jc w:val="both"/>
              <w:rPr>
                <w:rFonts w:ascii="Century Gothic" w:hAnsi="Century Gothic"/>
                <w:sz w:val="22"/>
                <w:szCs w:val="22"/>
              </w:rPr>
            </w:pPr>
            <w:r w:rsidRPr="009612C7">
              <w:rPr>
                <w:rFonts w:ascii="Century Gothic" w:hAnsi="Century Gothic"/>
                <w:b/>
                <w:bCs/>
                <w:sz w:val="22"/>
                <w:szCs w:val="22"/>
              </w:rPr>
              <w:t>C1</w:t>
            </w:r>
          </w:p>
        </w:tc>
        <w:tc>
          <w:tcPr>
            <w:tcW w:w="0" w:type="auto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5F8FC"/>
            <w:tcMar>
              <w:top w:w="100" w:type="dxa"/>
              <w:left w:w="160" w:type="dxa"/>
              <w:bottom w:w="100" w:type="dxa"/>
              <w:right w:w="160" w:type="dxa"/>
            </w:tcMar>
            <w:hideMark/>
          </w:tcPr>
          <w:p w14:paraId="6D21B466" w14:textId="61C57C31" w:rsidR="009612C7" w:rsidRPr="009612C7" w:rsidRDefault="007C31B7" w:rsidP="009612C7">
            <w:pPr>
              <w:spacing w:after="0" w:line="240" w:lineRule="auto"/>
              <w:jc w:val="both"/>
              <w:rPr>
                <w:rFonts w:ascii="Century Gothic" w:hAnsi="Century Gothic"/>
                <w:sz w:val="22"/>
                <w:szCs w:val="22"/>
              </w:rPr>
            </w:pPr>
            <w:r w:rsidRPr="009612C7">
              <w:rPr>
                <w:rFonts w:ascii="Century Gothic" w:hAnsi="Century Gothic"/>
                <w:b/>
                <w:bCs/>
                <w:sz w:val="22"/>
                <w:szCs w:val="22"/>
              </w:rPr>
              <w:t>Introducción</w:t>
            </w:r>
            <w:r w:rsidR="009612C7" w:rsidRPr="009612C7">
              <w:rPr>
                <w:rFonts w:ascii="Century Gothic" w:hAnsi="Century Gothic"/>
                <w:b/>
                <w:bCs/>
                <w:sz w:val="22"/>
                <w:szCs w:val="22"/>
              </w:rPr>
              <w:t xml:space="preserve"> al Derecho Probatorio</w:t>
            </w:r>
          </w:p>
          <w:p w14:paraId="4112967B" w14:textId="4659849D" w:rsidR="009612C7" w:rsidRPr="009612C7" w:rsidRDefault="009612C7" w:rsidP="009612C7">
            <w:pPr>
              <w:spacing w:after="0" w:line="240" w:lineRule="auto"/>
              <w:jc w:val="both"/>
              <w:rPr>
                <w:rFonts w:ascii="Century Gothic" w:hAnsi="Century Gothic"/>
                <w:sz w:val="22"/>
                <w:szCs w:val="22"/>
              </w:rPr>
            </w:pPr>
            <w:r w:rsidRPr="009612C7">
              <w:rPr>
                <w:rFonts w:ascii="Century Gothic" w:hAnsi="Century Gothic"/>
                <w:sz w:val="22"/>
                <w:szCs w:val="22"/>
              </w:rPr>
              <w:t xml:space="preserve">La </w:t>
            </w:r>
            <w:r w:rsidR="007C31B7" w:rsidRPr="009612C7">
              <w:rPr>
                <w:rFonts w:ascii="Century Gothic" w:hAnsi="Century Gothic"/>
                <w:sz w:val="22"/>
                <w:szCs w:val="22"/>
              </w:rPr>
              <w:t>función</w:t>
            </w:r>
            <w:r w:rsidRPr="009612C7">
              <w:rPr>
                <w:rFonts w:ascii="Century Gothic" w:hAnsi="Century Gothic"/>
                <w:sz w:val="22"/>
                <w:szCs w:val="22"/>
              </w:rPr>
              <w:t xml:space="preserve"> de la prueba en el proceso (Art. 164 CGP). La </w:t>
            </w:r>
            <w:r w:rsidR="007C31B7" w:rsidRPr="009612C7">
              <w:rPr>
                <w:rFonts w:ascii="Century Gothic" w:hAnsi="Century Gothic"/>
                <w:sz w:val="22"/>
                <w:szCs w:val="22"/>
              </w:rPr>
              <w:t>trilogía</w:t>
            </w:r>
            <w:r w:rsidRPr="009612C7">
              <w:rPr>
                <w:rFonts w:ascii="Century Gothic" w:hAnsi="Century Gothic"/>
                <w:sz w:val="22"/>
                <w:szCs w:val="22"/>
              </w:rPr>
              <w:t xml:space="preserve"> probatoria: fuente de prueba (la realidad exterior), medio de prueba (instrumento procesal) y </w:t>
            </w:r>
            <w:r w:rsidR="007C31B7" w:rsidRPr="009612C7">
              <w:rPr>
                <w:rFonts w:ascii="Century Gothic" w:hAnsi="Century Gothic"/>
                <w:sz w:val="22"/>
                <w:szCs w:val="22"/>
              </w:rPr>
              <w:t>órgano</w:t>
            </w:r>
            <w:r w:rsidRPr="009612C7">
              <w:rPr>
                <w:rFonts w:ascii="Century Gothic" w:hAnsi="Century Gothic"/>
                <w:sz w:val="22"/>
                <w:szCs w:val="22"/>
              </w:rPr>
              <w:t xml:space="preserve"> de prueba (persona que la porta). Ejemplo integrador. La carga de la prueba (Art. 167 CGP): regla general (quien afirma prueba). La carga </w:t>
            </w:r>
            <w:r w:rsidR="007C31B7" w:rsidRPr="009612C7">
              <w:rPr>
                <w:rFonts w:ascii="Century Gothic" w:hAnsi="Century Gothic"/>
                <w:sz w:val="22"/>
                <w:szCs w:val="22"/>
              </w:rPr>
              <w:t>dinámica</w:t>
            </w:r>
            <w:r w:rsidRPr="009612C7">
              <w:rPr>
                <w:rFonts w:ascii="Century Gothic" w:hAnsi="Century Gothic"/>
                <w:sz w:val="22"/>
                <w:szCs w:val="22"/>
              </w:rPr>
              <w:t xml:space="preserve"> de la prueba (Art. 167 inc. 2): </w:t>
            </w:r>
            <w:r w:rsidR="007C31B7" w:rsidRPr="009612C7">
              <w:rPr>
                <w:rFonts w:ascii="Century Gothic" w:hAnsi="Century Gothic"/>
                <w:sz w:val="22"/>
                <w:szCs w:val="22"/>
              </w:rPr>
              <w:t>asignación</w:t>
            </w:r>
            <w:r w:rsidRPr="009612C7">
              <w:rPr>
                <w:rFonts w:ascii="Century Gothic" w:hAnsi="Century Gothic"/>
                <w:sz w:val="22"/>
                <w:szCs w:val="22"/>
              </w:rPr>
              <w:t xml:space="preserve"> al que tiene mejor acceso a la </w:t>
            </w:r>
            <w:r w:rsidR="007C31B7" w:rsidRPr="009612C7">
              <w:rPr>
                <w:rFonts w:ascii="Century Gothic" w:hAnsi="Century Gothic"/>
                <w:sz w:val="22"/>
                <w:szCs w:val="22"/>
              </w:rPr>
              <w:t>información</w:t>
            </w:r>
            <w:r w:rsidRPr="009612C7">
              <w:rPr>
                <w:rFonts w:ascii="Century Gothic" w:hAnsi="Century Gothic"/>
                <w:sz w:val="22"/>
                <w:szCs w:val="22"/>
              </w:rPr>
              <w:t xml:space="preserve">. Caso de mala praxis </w:t>
            </w:r>
            <w:r w:rsidR="007C31B7" w:rsidRPr="009612C7">
              <w:rPr>
                <w:rFonts w:ascii="Century Gothic" w:hAnsi="Century Gothic"/>
                <w:sz w:val="22"/>
                <w:szCs w:val="22"/>
              </w:rPr>
              <w:t>médica</w:t>
            </w:r>
            <w:r w:rsidRPr="009612C7">
              <w:rPr>
                <w:rFonts w:ascii="Century Gothic" w:hAnsi="Century Gothic"/>
                <w:sz w:val="22"/>
                <w:szCs w:val="22"/>
              </w:rPr>
              <w:t xml:space="preserve">. La </w:t>
            </w:r>
            <w:r w:rsidR="007C31B7" w:rsidRPr="009612C7">
              <w:rPr>
                <w:rFonts w:ascii="Century Gothic" w:hAnsi="Century Gothic"/>
                <w:sz w:val="22"/>
                <w:szCs w:val="22"/>
              </w:rPr>
              <w:t>valoración</w:t>
            </w:r>
            <w:r w:rsidRPr="009612C7">
              <w:rPr>
                <w:rFonts w:ascii="Century Gothic" w:hAnsi="Century Gothic"/>
                <w:sz w:val="22"/>
                <w:szCs w:val="22"/>
              </w:rPr>
              <w:t xml:space="preserve"> de la prueba: la sana critica (Art. 176 CGP) vs. el antiguo sistema de tarifa legal.</w:t>
            </w:r>
          </w:p>
        </w:tc>
      </w:tr>
    </w:tbl>
    <w:p w14:paraId="520B70CD" w14:textId="77777777" w:rsidR="009612C7" w:rsidRPr="009612C7" w:rsidRDefault="009612C7" w:rsidP="009612C7">
      <w:pPr>
        <w:spacing w:after="0" w:line="240" w:lineRule="auto"/>
        <w:jc w:val="both"/>
        <w:rPr>
          <w:rFonts w:ascii="Century Gothic" w:hAnsi="Century Gothic"/>
          <w:sz w:val="22"/>
          <w:szCs w:val="22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35"/>
        <w:gridCol w:w="8293"/>
      </w:tblGrid>
      <w:tr w:rsidR="009612C7" w:rsidRPr="009612C7" w14:paraId="568CF0EA" w14:textId="77777777" w:rsidTr="009612C7">
        <w:tc>
          <w:tcPr>
            <w:tcW w:w="0" w:type="auto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1A3A5C"/>
            <w:tcMar>
              <w:top w:w="100" w:type="dxa"/>
              <w:left w:w="120" w:type="dxa"/>
              <w:bottom w:w="100" w:type="dxa"/>
              <w:right w:w="120" w:type="dxa"/>
            </w:tcMar>
            <w:hideMark/>
          </w:tcPr>
          <w:p w14:paraId="1BF35A24" w14:textId="77777777" w:rsidR="009612C7" w:rsidRPr="009612C7" w:rsidRDefault="009612C7" w:rsidP="009612C7">
            <w:pPr>
              <w:spacing w:after="0" w:line="240" w:lineRule="auto"/>
              <w:jc w:val="both"/>
              <w:rPr>
                <w:rFonts w:ascii="Century Gothic" w:hAnsi="Century Gothic"/>
                <w:sz w:val="22"/>
                <w:szCs w:val="22"/>
              </w:rPr>
            </w:pPr>
            <w:r w:rsidRPr="009612C7">
              <w:rPr>
                <w:rFonts w:ascii="Century Gothic" w:hAnsi="Century Gothic"/>
                <w:b/>
                <w:bCs/>
                <w:sz w:val="22"/>
                <w:szCs w:val="22"/>
              </w:rPr>
              <w:t>C2</w:t>
            </w:r>
          </w:p>
        </w:tc>
        <w:tc>
          <w:tcPr>
            <w:tcW w:w="0" w:type="auto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5F8FC"/>
            <w:tcMar>
              <w:top w:w="100" w:type="dxa"/>
              <w:left w:w="160" w:type="dxa"/>
              <w:bottom w:w="100" w:type="dxa"/>
              <w:right w:w="160" w:type="dxa"/>
            </w:tcMar>
            <w:hideMark/>
          </w:tcPr>
          <w:p w14:paraId="61D5EB12" w14:textId="77777777" w:rsidR="009612C7" w:rsidRPr="009612C7" w:rsidRDefault="009612C7" w:rsidP="009612C7">
            <w:pPr>
              <w:spacing w:after="0" w:line="240" w:lineRule="auto"/>
              <w:jc w:val="both"/>
              <w:rPr>
                <w:rFonts w:ascii="Century Gothic" w:hAnsi="Century Gothic"/>
                <w:sz w:val="22"/>
                <w:szCs w:val="22"/>
              </w:rPr>
            </w:pPr>
            <w:r w:rsidRPr="009612C7">
              <w:rPr>
                <w:rFonts w:ascii="Century Gothic" w:hAnsi="Century Gothic"/>
                <w:b/>
                <w:bCs/>
                <w:sz w:val="22"/>
                <w:szCs w:val="22"/>
              </w:rPr>
              <w:t>Medios de Prueba en el CGP</w:t>
            </w:r>
          </w:p>
          <w:p w14:paraId="66A80321" w14:textId="0DADCF02" w:rsidR="009612C7" w:rsidRPr="009612C7" w:rsidRDefault="009612C7" w:rsidP="009612C7">
            <w:pPr>
              <w:spacing w:after="0" w:line="240" w:lineRule="auto"/>
              <w:jc w:val="both"/>
              <w:rPr>
                <w:rFonts w:ascii="Century Gothic" w:hAnsi="Century Gothic"/>
                <w:sz w:val="22"/>
                <w:szCs w:val="22"/>
              </w:rPr>
            </w:pPr>
            <w:r w:rsidRPr="009612C7">
              <w:rPr>
                <w:rFonts w:ascii="Century Gothic" w:hAnsi="Century Gothic"/>
                <w:sz w:val="22"/>
                <w:szCs w:val="22"/>
              </w:rPr>
              <w:t xml:space="preserve">Catalogo del Art. 165 CGP: </w:t>
            </w:r>
            <w:r w:rsidR="007C31B7" w:rsidRPr="009612C7">
              <w:rPr>
                <w:rFonts w:ascii="Century Gothic" w:hAnsi="Century Gothic"/>
                <w:sz w:val="22"/>
                <w:szCs w:val="22"/>
              </w:rPr>
              <w:t>declaración</w:t>
            </w:r>
            <w:r w:rsidRPr="009612C7">
              <w:rPr>
                <w:rFonts w:ascii="Century Gothic" w:hAnsi="Century Gothic"/>
                <w:sz w:val="22"/>
                <w:szCs w:val="22"/>
              </w:rPr>
              <w:t xml:space="preserve"> de parte, testimonio, documentos, dictamen pericial, </w:t>
            </w:r>
            <w:r w:rsidR="007C31B7" w:rsidRPr="009612C7">
              <w:rPr>
                <w:rFonts w:ascii="Century Gothic" w:hAnsi="Century Gothic"/>
                <w:sz w:val="22"/>
                <w:szCs w:val="22"/>
              </w:rPr>
              <w:t>inspección</w:t>
            </w:r>
            <w:r w:rsidRPr="009612C7">
              <w:rPr>
                <w:rFonts w:ascii="Century Gothic" w:hAnsi="Century Gothic"/>
                <w:sz w:val="22"/>
                <w:szCs w:val="22"/>
              </w:rPr>
              <w:t xml:space="preserve"> judicial, indicios e informes. La </w:t>
            </w:r>
            <w:r w:rsidR="007C31B7" w:rsidRPr="009612C7">
              <w:rPr>
                <w:rFonts w:ascii="Century Gothic" w:hAnsi="Century Gothic"/>
                <w:sz w:val="22"/>
                <w:szCs w:val="22"/>
              </w:rPr>
              <w:t>declaración</w:t>
            </w:r>
            <w:r w:rsidRPr="009612C7">
              <w:rPr>
                <w:rFonts w:ascii="Century Gothic" w:hAnsi="Century Gothic"/>
                <w:sz w:val="22"/>
                <w:szCs w:val="22"/>
              </w:rPr>
              <w:t xml:space="preserve"> de parte (Arts. 191-207): interrogatorio de parte, interrogatorio de oficio, la </w:t>
            </w:r>
            <w:r w:rsidR="007C31B7" w:rsidRPr="009612C7">
              <w:rPr>
                <w:rFonts w:ascii="Century Gothic" w:hAnsi="Century Gothic"/>
                <w:sz w:val="22"/>
                <w:szCs w:val="22"/>
              </w:rPr>
              <w:t>confesión</w:t>
            </w:r>
            <w:r w:rsidRPr="009612C7">
              <w:rPr>
                <w:rFonts w:ascii="Century Gothic" w:hAnsi="Century Gothic"/>
                <w:sz w:val="22"/>
                <w:szCs w:val="22"/>
              </w:rPr>
              <w:t xml:space="preserve"> y la </w:t>
            </w:r>
            <w:r w:rsidR="007C31B7" w:rsidRPr="009612C7">
              <w:rPr>
                <w:rFonts w:ascii="Century Gothic" w:hAnsi="Century Gothic"/>
                <w:sz w:val="22"/>
                <w:szCs w:val="22"/>
              </w:rPr>
              <w:t>confesión</w:t>
            </w:r>
            <w:r w:rsidRPr="009612C7">
              <w:rPr>
                <w:rFonts w:ascii="Century Gothic" w:hAnsi="Century Gothic"/>
                <w:sz w:val="22"/>
                <w:szCs w:val="22"/>
              </w:rPr>
              <w:t xml:space="preserve"> ficta (Art. 205) como </w:t>
            </w:r>
            <w:r w:rsidR="007C31B7" w:rsidRPr="009612C7">
              <w:rPr>
                <w:rFonts w:ascii="Century Gothic" w:hAnsi="Century Gothic"/>
                <w:sz w:val="22"/>
                <w:szCs w:val="22"/>
              </w:rPr>
              <w:t>sanción</w:t>
            </w:r>
            <w:r w:rsidRPr="009612C7">
              <w:rPr>
                <w:rFonts w:ascii="Century Gothic" w:hAnsi="Century Gothic"/>
                <w:sz w:val="22"/>
                <w:szCs w:val="22"/>
              </w:rPr>
              <w:t xml:space="preserve"> a la inasistencia. El testimonio (Arts. 208-228): practica en audiencia, contrainterrogatorio, cinco criterios de credibilidad. La prueba documental (Arts. 243-269): tabla de tipos y valor probatorio (</w:t>
            </w:r>
            <w:r w:rsidR="007C31B7" w:rsidRPr="009612C7">
              <w:rPr>
                <w:rFonts w:ascii="Century Gothic" w:hAnsi="Century Gothic"/>
                <w:sz w:val="22"/>
                <w:szCs w:val="22"/>
              </w:rPr>
              <w:t>público</w:t>
            </w:r>
            <w:r w:rsidRPr="009612C7">
              <w:rPr>
                <w:rFonts w:ascii="Century Gothic" w:hAnsi="Century Gothic"/>
                <w:sz w:val="22"/>
                <w:szCs w:val="22"/>
              </w:rPr>
              <w:t xml:space="preserve">, privado autenticado, privado, mensaje de datos). El dictamen pericial: oficial vs. de parte, </w:t>
            </w:r>
            <w:r w:rsidR="007C31B7" w:rsidRPr="009612C7">
              <w:rPr>
                <w:rFonts w:ascii="Century Gothic" w:hAnsi="Century Gothic"/>
                <w:sz w:val="22"/>
                <w:szCs w:val="22"/>
              </w:rPr>
              <w:t>contradicción</w:t>
            </w:r>
            <w:r w:rsidRPr="009612C7">
              <w:rPr>
                <w:rFonts w:ascii="Century Gothic" w:hAnsi="Century Gothic"/>
                <w:sz w:val="22"/>
                <w:szCs w:val="22"/>
              </w:rPr>
              <w:t xml:space="preserve">. </w:t>
            </w:r>
          </w:p>
        </w:tc>
      </w:tr>
    </w:tbl>
    <w:p w14:paraId="7803185F" w14:textId="77777777" w:rsidR="009612C7" w:rsidRPr="009612C7" w:rsidRDefault="009612C7" w:rsidP="009612C7">
      <w:pPr>
        <w:spacing w:after="0" w:line="240" w:lineRule="auto"/>
        <w:jc w:val="both"/>
        <w:rPr>
          <w:rFonts w:ascii="Century Gothic" w:hAnsi="Century Gothic"/>
          <w:sz w:val="22"/>
          <w:szCs w:val="22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35"/>
        <w:gridCol w:w="8293"/>
      </w:tblGrid>
      <w:tr w:rsidR="009612C7" w:rsidRPr="009612C7" w14:paraId="0DD52F93" w14:textId="77777777" w:rsidTr="009612C7">
        <w:tc>
          <w:tcPr>
            <w:tcW w:w="0" w:type="auto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1A3A5C"/>
            <w:tcMar>
              <w:top w:w="100" w:type="dxa"/>
              <w:left w:w="120" w:type="dxa"/>
              <w:bottom w:w="100" w:type="dxa"/>
              <w:right w:w="120" w:type="dxa"/>
            </w:tcMar>
            <w:hideMark/>
          </w:tcPr>
          <w:p w14:paraId="29CAECC6" w14:textId="77777777" w:rsidR="009612C7" w:rsidRPr="009612C7" w:rsidRDefault="009612C7" w:rsidP="009612C7">
            <w:pPr>
              <w:spacing w:after="0" w:line="240" w:lineRule="auto"/>
              <w:jc w:val="both"/>
              <w:rPr>
                <w:rFonts w:ascii="Century Gothic" w:hAnsi="Century Gothic"/>
                <w:sz w:val="22"/>
                <w:szCs w:val="22"/>
              </w:rPr>
            </w:pPr>
            <w:r w:rsidRPr="009612C7">
              <w:rPr>
                <w:rFonts w:ascii="Century Gothic" w:hAnsi="Century Gothic"/>
                <w:b/>
                <w:bCs/>
                <w:sz w:val="22"/>
                <w:szCs w:val="22"/>
              </w:rPr>
              <w:t>C3</w:t>
            </w:r>
          </w:p>
        </w:tc>
        <w:tc>
          <w:tcPr>
            <w:tcW w:w="0" w:type="auto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5F8FC"/>
            <w:tcMar>
              <w:top w:w="100" w:type="dxa"/>
              <w:left w:w="160" w:type="dxa"/>
              <w:bottom w:w="100" w:type="dxa"/>
              <w:right w:w="160" w:type="dxa"/>
            </w:tcMar>
            <w:hideMark/>
          </w:tcPr>
          <w:p w14:paraId="68EA2FEF" w14:textId="77777777" w:rsidR="009612C7" w:rsidRPr="009612C7" w:rsidRDefault="009612C7" w:rsidP="009612C7">
            <w:pPr>
              <w:spacing w:after="0" w:line="240" w:lineRule="auto"/>
              <w:jc w:val="both"/>
              <w:rPr>
                <w:rFonts w:ascii="Century Gothic" w:hAnsi="Century Gothic"/>
                <w:sz w:val="22"/>
                <w:szCs w:val="22"/>
              </w:rPr>
            </w:pPr>
            <w:r w:rsidRPr="009612C7">
              <w:rPr>
                <w:rFonts w:ascii="Century Gothic" w:hAnsi="Century Gothic"/>
                <w:b/>
                <w:bCs/>
                <w:sz w:val="22"/>
                <w:szCs w:val="22"/>
              </w:rPr>
              <w:t>La Cosa Juzgada</w:t>
            </w:r>
          </w:p>
          <w:p w14:paraId="7B3DD304" w14:textId="5FEB2A36" w:rsidR="009612C7" w:rsidRPr="009612C7" w:rsidRDefault="009612C7" w:rsidP="009612C7">
            <w:pPr>
              <w:spacing w:after="0" w:line="240" w:lineRule="auto"/>
              <w:jc w:val="both"/>
              <w:rPr>
                <w:rFonts w:ascii="Century Gothic" w:hAnsi="Century Gothic"/>
                <w:sz w:val="22"/>
                <w:szCs w:val="22"/>
              </w:rPr>
            </w:pPr>
            <w:r w:rsidRPr="009612C7">
              <w:rPr>
                <w:rFonts w:ascii="Century Gothic" w:hAnsi="Century Gothic"/>
                <w:sz w:val="22"/>
                <w:szCs w:val="22"/>
              </w:rPr>
              <w:t xml:space="preserve">Concepto y fundamento constitucional </w:t>
            </w:r>
            <w:r w:rsidR="007C31B7" w:rsidRPr="009612C7">
              <w:rPr>
                <w:rFonts w:ascii="Century Gothic" w:hAnsi="Century Gothic"/>
                <w:sz w:val="22"/>
                <w:szCs w:val="22"/>
              </w:rPr>
              <w:t>implícito</w:t>
            </w:r>
            <w:r w:rsidRPr="009612C7">
              <w:rPr>
                <w:rFonts w:ascii="Century Gothic" w:hAnsi="Century Gothic"/>
                <w:sz w:val="22"/>
                <w:szCs w:val="22"/>
              </w:rPr>
              <w:t xml:space="preserve"> (Art. 29 C.P. / non bis in </w:t>
            </w:r>
            <w:r w:rsidR="007C31B7" w:rsidRPr="009612C7">
              <w:rPr>
                <w:rFonts w:ascii="Century Gothic" w:hAnsi="Century Gothic"/>
                <w:sz w:val="22"/>
                <w:szCs w:val="22"/>
              </w:rPr>
              <w:t>ídem</w:t>
            </w:r>
            <w:r w:rsidRPr="009612C7">
              <w:rPr>
                <w:rFonts w:ascii="Century Gothic" w:hAnsi="Century Gothic"/>
                <w:sz w:val="22"/>
                <w:szCs w:val="22"/>
              </w:rPr>
              <w:t>). Art. 303 CGP. Los tres elementos: identidad de partes (</w:t>
            </w:r>
            <w:r w:rsidR="007C31B7" w:rsidRPr="009612C7">
              <w:rPr>
                <w:rFonts w:ascii="Century Gothic" w:hAnsi="Century Gothic"/>
                <w:sz w:val="22"/>
                <w:szCs w:val="22"/>
              </w:rPr>
              <w:t>evaden</w:t>
            </w:r>
            <w:r w:rsidRPr="009612C7">
              <w:rPr>
                <w:rFonts w:ascii="Century Gothic" w:hAnsi="Century Gothic"/>
                <w:sz w:val="22"/>
                <w:szCs w:val="22"/>
              </w:rPr>
              <w:t xml:space="preserve"> personae), identidad de objeto (</w:t>
            </w:r>
            <w:r w:rsidR="007C31B7" w:rsidRPr="009612C7">
              <w:rPr>
                <w:rFonts w:ascii="Century Gothic" w:hAnsi="Century Gothic"/>
                <w:sz w:val="22"/>
                <w:szCs w:val="22"/>
              </w:rPr>
              <w:t>evaden</w:t>
            </w:r>
            <w:r w:rsidRPr="009612C7">
              <w:rPr>
                <w:rFonts w:ascii="Century Gothic" w:hAnsi="Century Gothic"/>
                <w:sz w:val="22"/>
                <w:szCs w:val="22"/>
              </w:rPr>
              <w:t xml:space="preserve"> res) e identidad de causa (</w:t>
            </w:r>
            <w:r w:rsidR="007C31B7" w:rsidRPr="009612C7">
              <w:rPr>
                <w:rFonts w:ascii="Century Gothic" w:hAnsi="Century Gothic"/>
                <w:sz w:val="22"/>
                <w:szCs w:val="22"/>
              </w:rPr>
              <w:t>evaden</w:t>
            </w:r>
            <w:r w:rsidRPr="009612C7">
              <w:rPr>
                <w:rFonts w:ascii="Century Gothic" w:hAnsi="Century Gothic"/>
                <w:sz w:val="22"/>
                <w:szCs w:val="22"/>
              </w:rPr>
              <w:t xml:space="preserve"> causa petendi). Tabla con ejemplos para cada elemento. Cosa juzgada formal vs. material. </w:t>
            </w:r>
            <w:r w:rsidR="007C31B7" w:rsidRPr="009612C7">
              <w:rPr>
                <w:rFonts w:ascii="Century Gothic" w:hAnsi="Century Gothic"/>
                <w:sz w:val="22"/>
                <w:szCs w:val="22"/>
              </w:rPr>
              <w:t>Límites</w:t>
            </w:r>
            <w:r w:rsidRPr="009612C7">
              <w:rPr>
                <w:rFonts w:ascii="Century Gothic" w:hAnsi="Century Gothic"/>
                <w:sz w:val="22"/>
                <w:szCs w:val="22"/>
              </w:rPr>
              <w:t xml:space="preserve"> y excepciones: recurso extraordinario de revision (Art. 354 CGP), proceso fraudulento, sentencias de la Corte IDH y prueba de ADN en </w:t>
            </w:r>
            <w:r w:rsidR="007C31B7" w:rsidRPr="009612C7">
              <w:rPr>
                <w:rFonts w:ascii="Century Gothic" w:hAnsi="Century Gothic"/>
                <w:sz w:val="22"/>
                <w:szCs w:val="22"/>
              </w:rPr>
              <w:t>filiación</w:t>
            </w:r>
            <w:r w:rsidRPr="009612C7">
              <w:rPr>
                <w:rFonts w:ascii="Century Gothic" w:hAnsi="Century Gothic"/>
                <w:sz w:val="22"/>
                <w:szCs w:val="22"/>
              </w:rPr>
              <w:t xml:space="preserve">. La </w:t>
            </w:r>
            <w:r w:rsidR="007C31B7" w:rsidRPr="009612C7">
              <w:rPr>
                <w:rFonts w:ascii="Century Gothic" w:hAnsi="Century Gothic"/>
                <w:sz w:val="22"/>
                <w:szCs w:val="22"/>
              </w:rPr>
              <w:t>excepción</w:t>
            </w:r>
            <w:r w:rsidRPr="009612C7">
              <w:rPr>
                <w:rFonts w:ascii="Century Gothic" w:hAnsi="Century Gothic"/>
                <w:sz w:val="22"/>
                <w:szCs w:val="22"/>
              </w:rPr>
              <w:t xml:space="preserve"> de cosa juzgada (Art. 100 </w:t>
            </w:r>
            <w:r w:rsidR="007C31B7" w:rsidRPr="009612C7">
              <w:rPr>
                <w:rFonts w:ascii="Century Gothic" w:hAnsi="Century Gothic"/>
                <w:sz w:val="22"/>
                <w:szCs w:val="22"/>
              </w:rPr>
              <w:t>núm.</w:t>
            </w:r>
            <w:r w:rsidRPr="009612C7">
              <w:rPr>
                <w:rFonts w:ascii="Century Gothic" w:hAnsi="Century Gothic"/>
                <w:sz w:val="22"/>
                <w:szCs w:val="22"/>
              </w:rPr>
              <w:t xml:space="preserve"> 9 CGP). </w:t>
            </w:r>
          </w:p>
        </w:tc>
      </w:tr>
    </w:tbl>
    <w:p w14:paraId="468EDC44" w14:textId="77777777" w:rsidR="009612C7" w:rsidRPr="009612C7" w:rsidRDefault="009612C7" w:rsidP="009612C7">
      <w:pPr>
        <w:spacing w:after="0" w:line="240" w:lineRule="auto"/>
        <w:jc w:val="both"/>
        <w:rPr>
          <w:rFonts w:ascii="Century Gothic" w:hAnsi="Century Gothic"/>
          <w:sz w:val="22"/>
          <w:szCs w:val="22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35"/>
        <w:gridCol w:w="8293"/>
      </w:tblGrid>
      <w:tr w:rsidR="009612C7" w:rsidRPr="009612C7" w14:paraId="6D04511B" w14:textId="77777777" w:rsidTr="009612C7">
        <w:tc>
          <w:tcPr>
            <w:tcW w:w="0" w:type="auto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1A3A5C"/>
            <w:tcMar>
              <w:top w:w="100" w:type="dxa"/>
              <w:left w:w="120" w:type="dxa"/>
              <w:bottom w:w="100" w:type="dxa"/>
              <w:right w:w="120" w:type="dxa"/>
            </w:tcMar>
            <w:hideMark/>
          </w:tcPr>
          <w:p w14:paraId="71A4E994" w14:textId="77777777" w:rsidR="009612C7" w:rsidRPr="009612C7" w:rsidRDefault="009612C7" w:rsidP="009612C7">
            <w:pPr>
              <w:spacing w:after="0" w:line="240" w:lineRule="auto"/>
              <w:jc w:val="both"/>
              <w:rPr>
                <w:rFonts w:ascii="Century Gothic" w:hAnsi="Century Gothic"/>
                <w:sz w:val="22"/>
                <w:szCs w:val="22"/>
              </w:rPr>
            </w:pPr>
            <w:r w:rsidRPr="009612C7">
              <w:rPr>
                <w:rFonts w:ascii="Century Gothic" w:hAnsi="Century Gothic"/>
                <w:b/>
                <w:bCs/>
                <w:sz w:val="22"/>
                <w:szCs w:val="22"/>
              </w:rPr>
              <w:t>C4</w:t>
            </w:r>
          </w:p>
        </w:tc>
        <w:tc>
          <w:tcPr>
            <w:tcW w:w="0" w:type="auto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5F8FC"/>
            <w:tcMar>
              <w:top w:w="100" w:type="dxa"/>
              <w:left w:w="160" w:type="dxa"/>
              <w:bottom w:w="100" w:type="dxa"/>
              <w:right w:w="160" w:type="dxa"/>
            </w:tcMar>
            <w:hideMark/>
          </w:tcPr>
          <w:p w14:paraId="5EA1BA8A" w14:textId="036FFD44" w:rsidR="009612C7" w:rsidRPr="009612C7" w:rsidRDefault="009612C7" w:rsidP="009612C7">
            <w:pPr>
              <w:spacing w:after="0" w:line="240" w:lineRule="auto"/>
              <w:jc w:val="both"/>
              <w:rPr>
                <w:rFonts w:ascii="Century Gothic" w:hAnsi="Century Gothic"/>
                <w:sz w:val="22"/>
                <w:szCs w:val="22"/>
              </w:rPr>
            </w:pPr>
            <w:r w:rsidRPr="009612C7">
              <w:rPr>
                <w:rFonts w:ascii="Century Gothic" w:hAnsi="Century Gothic"/>
                <w:b/>
                <w:bCs/>
                <w:sz w:val="22"/>
                <w:szCs w:val="22"/>
              </w:rPr>
              <w:t xml:space="preserve">Mecanismos Alternativos de </w:t>
            </w:r>
            <w:r w:rsidR="007C31B7" w:rsidRPr="009612C7">
              <w:rPr>
                <w:rFonts w:ascii="Century Gothic" w:hAnsi="Century Gothic"/>
                <w:b/>
                <w:bCs/>
                <w:sz w:val="22"/>
                <w:szCs w:val="22"/>
              </w:rPr>
              <w:t>Solución</w:t>
            </w:r>
            <w:r w:rsidRPr="009612C7">
              <w:rPr>
                <w:rFonts w:ascii="Century Gothic" w:hAnsi="Century Gothic"/>
                <w:b/>
                <w:bCs/>
                <w:sz w:val="22"/>
                <w:szCs w:val="22"/>
              </w:rPr>
              <w:t xml:space="preserve"> de Conflictos (MASC): </w:t>
            </w:r>
            <w:r w:rsidR="007C31B7" w:rsidRPr="009612C7">
              <w:rPr>
                <w:rFonts w:ascii="Century Gothic" w:hAnsi="Century Gothic"/>
                <w:b/>
                <w:bCs/>
                <w:sz w:val="22"/>
                <w:szCs w:val="22"/>
              </w:rPr>
              <w:t>Visión</w:t>
            </w:r>
            <w:r w:rsidRPr="009612C7">
              <w:rPr>
                <w:rFonts w:ascii="Century Gothic" w:hAnsi="Century Gothic"/>
                <w:b/>
                <w:bCs/>
                <w:sz w:val="22"/>
                <w:szCs w:val="22"/>
              </w:rPr>
              <w:t xml:space="preserve"> General</w:t>
            </w:r>
          </w:p>
          <w:p w14:paraId="7D7E2FFF" w14:textId="605AF909" w:rsidR="009612C7" w:rsidRPr="009612C7" w:rsidRDefault="009612C7" w:rsidP="009612C7">
            <w:pPr>
              <w:spacing w:after="0" w:line="240" w:lineRule="auto"/>
              <w:jc w:val="both"/>
              <w:rPr>
                <w:rFonts w:ascii="Century Gothic" w:hAnsi="Century Gothic"/>
                <w:sz w:val="22"/>
                <w:szCs w:val="22"/>
              </w:rPr>
            </w:pPr>
            <w:r w:rsidRPr="009612C7">
              <w:rPr>
                <w:rFonts w:ascii="Century Gothic" w:hAnsi="Century Gothic"/>
                <w:sz w:val="22"/>
                <w:szCs w:val="22"/>
              </w:rPr>
              <w:t xml:space="preserve">Fundamento constitucional (Art. 116 C.P.) y legal (Art. 13 CGP / Ley 446/98 / Ley 640/01). </w:t>
            </w:r>
            <w:r w:rsidR="007C31B7" w:rsidRPr="009612C7">
              <w:rPr>
                <w:rFonts w:ascii="Century Gothic" w:hAnsi="Century Gothic"/>
                <w:sz w:val="22"/>
                <w:szCs w:val="22"/>
              </w:rPr>
              <w:t>Clasificación</w:t>
            </w:r>
            <w:r w:rsidRPr="009612C7">
              <w:rPr>
                <w:rFonts w:ascii="Century Gothic" w:hAnsi="Century Gothic"/>
                <w:sz w:val="22"/>
                <w:szCs w:val="22"/>
              </w:rPr>
              <w:t xml:space="preserve"> de los MASC: tabla de </w:t>
            </w:r>
            <w:r w:rsidR="007C31B7" w:rsidRPr="009612C7">
              <w:rPr>
                <w:rFonts w:ascii="Century Gothic" w:hAnsi="Century Gothic"/>
                <w:sz w:val="22"/>
                <w:szCs w:val="22"/>
              </w:rPr>
              <w:t>negociación</w:t>
            </w:r>
            <w:r w:rsidRPr="009612C7">
              <w:rPr>
                <w:rFonts w:ascii="Century Gothic" w:hAnsi="Century Gothic"/>
                <w:sz w:val="22"/>
                <w:szCs w:val="22"/>
              </w:rPr>
              <w:t xml:space="preserve">, </w:t>
            </w:r>
            <w:r w:rsidR="007C31B7" w:rsidRPr="009612C7">
              <w:rPr>
                <w:rFonts w:ascii="Century Gothic" w:hAnsi="Century Gothic"/>
                <w:sz w:val="22"/>
                <w:szCs w:val="22"/>
              </w:rPr>
              <w:t>conciliación</w:t>
            </w:r>
            <w:r w:rsidRPr="009612C7">
              <w:rPr>
                <w:rFonts w:ascii="Century Gothic" w:hAnsi="Century Gothic"/>
                <w:sz w:val="22"/>
                <w:szCs w:val="22"/>
              </w:rPr>
              <w:t xml:space="preserve">, </w:t>
            </w:r>
            <w:r w:rsidR="007C31B7" w:rsidRPr="009612C7">
              <w:rPr>
                <w:rFonts w:ascii="Century Gothic" w:hAnsi="Century Gothic"/>
                <w:sz w:val="22"/>
                <w:szCs w:val="22"/>
              </w:rPr>
              <w:t>mediación</w:t>
            </w:r>
            <w:r w:rsidRPr="009612C7">
              <w:rPr>
                <w:rFonts w:ascii="Century Gothic" w:hAnsi="Century Gothic"/>
                <w:sz w:val="22"/>
                <w:szCs w:val="22"/>
              </w:rPr>
              <w:t xml:space="preserve">, amigable </w:t>
            </w:r>
            <w:r w:rsidR="007C31B7" w:rsidRPr="009612C7">
              <w:rPr>
                <w:rFonts w:ascii="Century Gothic" w:hAnsi="Century Gothic"/>
                <w:sz w:val="22"/>
                <w:szCs w:val="22"/>
              </w:rPr>
              <w:t>composición</w:t>
            </w:r>
            <w:r w:rsidRPr="009612C7">
              <w:rPr>
                <w:rFonts w:ascii="Century Gothic" w:hAnsi="Century Gothic"/>
                <w:sz w:val="22"/>
                <w:szCs w:val="22"/>
              </w:rPr>
              <w:t xml:space="preserve"> y arbitraje (quien decide, resultado, si hace cosa juzgada). Arbitraje vs. amigable </w:t>
            </w:r>
            <w:r w:rsidR="007C31B7" w:rsidRPr="009612C7">
              <w:rPr>
                <w:rFonts w:ascii="Century Gothic" w:hAnsi="Century Gothic"/>
                <w:sz w:val="22"/>
                <w:szCs w:val="22"/>
              </w:rPr>
              <w:t>composición</w:t>
            </w:r>
            <w:r w:rsidRPr="009612C7">
              <w:rPr>
                <w:rFonts w:ascii="Century Gothic" w:hAnsi="Century Gothic"/>
                <w:sz w:val="22"/>
                <w:szCs w:val="22"/>
              </w:rPr>
              <w:t xml:space="preserve"> (Ley 1563/12 Arts. 59-66): diferencias en naturaleza de la </w:t>
            </w:r>
            <w:r w:rsidR="007C31B7" w:rsidRPr="009612C7">
              <w:rPr>
                <w:rFonts w:ascii="Century Gothic" w:hAnsi="Century Gothic"/>
                <w:sz w:val="22"/>
                <w:szCs w:val="22"/>
              </w:rPr>
              <w:t>decisión</w:t>
            </w:r>
            <w:r w:rsidRPr="009612C7">
              <w:rPr>
                <w:rFonts w:ascii="Century Gothic" w:hAnsi="Century Gothic"/>
                <w:sz w:val="22"/>
                <w:szCs w:val="22"/>
              </w:rPr>
              <w:t xml:space="preserve">, recursos y </w:t>
            </w:r>
            <w:r w:rsidR="007C31B7" w:rsidRPr="009612C7">
              <w:rPr>
                <w:rFonts w:ascii="Century Gothic" w:hAnsi="Century Gothic"/>
                <w:sz w:val="22"/>
                <w:szCs w:val="22"/>
              </w:rPr>
              <w:t>ejecución</w:t>
            </w:r>
            <w:r w:rsidRPr="009612C7">
              <w:rPr>
                <w:rFonts w:ascii="Century Gothic" w:hAnsi="Century Gothic"/>
                <w:sz w:val="22"/>
                <w:szCs w:val="22"/>
              </w:rPr>
              <w:t xml:space="preserve"> forzosa. Factores para elegir el MASC correcto: relacion entre partes, cuantia, velocidad, confidencialidad y costo.</w:t>
            </w:r>
          </w:p>
        </w:tc>
      </w:tr>
    </w:tbl>
    <w:p w14:paraId="59A8623B" w14:textId="77777777" w:rsidR="009612C7" w:rsidRPr="009612C7" w:rsidRDefault="009612C7" w:rsidP="009612C7">
      <w:pPr>
        <w:spacing w:after="0" w:line="240" w:lineRule="auto"/>
        <w:jc w:val="both"/>
        <w:rPr>
          <w:rFonts w:ascii="Century Gothic" w:hAnsi="Century Gothic"/>
          <w:sz w:val="22"/>
          <w:szCs w:val="22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35"/>
        <w:gridCol w:w="8293"/>
      </w:tblGrid>
      <w:tr w:rsidR="009612C7" w:rsidRPr="009612C7" w14:paraId="29BBDF2E" w14:textId="77777777" w:rsidTr="009612C7">
        <w:tc>
          <w:tcPr>
            <w:tcW w:w="0" w:type="auto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1A3A5C"/>
            <w:tcMar>
              <w:top w:w="100" w:type="dxa"/>
              <w:left w:w="120" w:type="dxa"/>
              <w:bottom w:w="100" w:type="dxa"/>
              <w:right w:w="120" w:type="dxa"/>
            </w:tcMar>
            <w:hideMark/>
          </w:tcPr>
          <w:p w14:paraId="2BCD6127" w14:textId="77777777" w:rsidR="009612C7" w:rsidRPr="009612C7" w:rsidRDefault="009612C7" w:rsidP="009612C7">
            <w:pPr>
              <w:spacing w:after="0" w:line="240" w:lineRule="auto"/>
              <w:jc w:val="both"/>
              <w:rPr>
                <w:rFonts w:ascii="Century Gothic" w:hAnsi="Century Gothic"/>
                <w:sz w:val="22"/>
                <w:szCs w:val="22"/>
              </w:rPr>
            </w:pPr>
            <w:r w:rsidRPr="009612C7">
              <w:rPr>
                <w:rFonts w:ascii="Century Gothic" w:hAnsi="Century Gothic"/>
                <w:b/>
                <w:bCs/>
                <w:sz w:val="22"/>
                <w:szCs w:val="22"/>
              </w:rPr>
              <w:t>C5</w:t>
            </w:r>
          </w:p>
        </w:tc>
        <w:tc>
          <w:tcPr>
            <w:tcW w:w="0" w:type="auto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5F8FC"/>
            <w:tcMar>
              <w:top w:w="100" w:type="dxa"/>
              <w:left w:w="160" w:type="dxa"/>
              <w:bottom w:w="100" w:type="dxa"/>
              <w:right w:w="160" w:type="dxa"/>
            </w:tcMar>
            <w:hideMark/>
          </w:tcPr>
          <w:p w14:paraId="0114E858" w14:textId="238C8628" w:rsidR="009612C7" w:rsidRPr="009612C7" w:rsidRDefault="009612C7" w:rsidP="009612C7">
            <w:pPr>
              <w:spacing w:after="0" w:line="240" w:lineRule="auto"/>
              <w:jc w:val="both"/>
              <w:rPr>
                <w:rFonts w:ascii="Century Gothic" w:hAnsi="Century Gothic"/>
                <w:sz w:val="22"/>
                <w:szCs w:val="22"/>
              </w:rPr>
            </w:pPr>
            <w:r w:rsidRPr="009612C7">
              <w:rPr>
                <w:rFonts w:ascii="Century Gothic" w:hAnsi="Century Gothic"/>
                <w:b/>
                <w:bCs/>
                <w:sz w:val="22"/>
                <w:szCs w:val="22"/>
              </w:rPr>
              <w:t xml:space="preserve">La </w:t>
            </w:r>
            <w:r w:rsidR="007C31B7" w:rsidRPr="009612C7">
              <w:rPr>
                <w:rFonts w:ascii="Century Gothic" w:hAnsi="Century Gothic"/>
                <w:b/>
                <w:bCs/>
                <w:sz w:val="22"/>
                <w:szCs w:val="22"/>
              </w:rPr>
              <w:t>Conciliación</w:t>
            </w:r>
            <w:r w:rsidRPr="009612C7">
              <w:rPr>
                <w:rFonts w:ascii="Century Gothic" w:hAnsi="Century Gothic"/>
                <w:b/>
                <w:bCs/>
                <w:sz w:val="22"/>
                <w:szCs w:val="22"/>
              </w:rPr>
              <w:t xml:space="preserve"> Extrajudicial: Requisito de Procedibilidad</w:t>
            </w:r>
          </w:p>
          <w:p w14:paraId="1A221CE9" w14:textId="511781D2" w:rsidR="009612C7" w:rsidRPr="009612C7" w:rsidRDefault="009612C7" w:rsidP="009612C7">
            <w:pPr>
              <w:spacing w:after="0" w:line="240" w:lineRule="auto"/>
              <w:jc w:val="both"/>
              <w:rPr>
                <w:rFonts w:ascii="Century Gothic" w:hAnsi="Century Gothic"/>
                <w:sz w:val="22"/>
                <w:szCs w:val="22"/>
              </w:rPr>
            </w:pPr>
            <w:r w:rsidRPr="009612C7">
              <w:rPr>
                <w:rFonts w:ascii="Century Gothic" w:hAnsi="Century Gothic"/>
                <w:sz w:val="22"/>
                <w:szCs w:val="22"/>
              </w:rPr>
              <w:lastRenderedPageBreak/>
              <w:t xml:space="preserve">Concepto de </w:t>
            </w:r>
            <w:r w:rsidR="007C31B7" w:rsidRPr="009612C7">
              <w:rPr>
                <w:rFonts w:ascii="Century Gothic" w:hAnsi="Century Gothic"/>
                <w:sz w:val="22"/>
                <w:szCs w:val="22"/>
              </w:rPr>
              <w:t>conciliación</w:t>
            </w:r>
            <w:r w:rsidRPr="009612C7">
              <w:rPr>
                <w:rFonts w:ascii="Century Gothic" w:hAnsi="Century Gothic"/>
                <w:sz w:val="22"/>
                <w:szCs w:val="22"/>
              </w:rPr>
              <w:t xml:space="preserve"> y efectos del acta (Art. 66 Ley 446/98: cosa juzgada y merito ejecutivo). Materias en que es requisito de procedibilidad (Art. 35 Ley 640/01): civil declarativo, laboral individual y familia. Excepciones al requisito. Entidades habilitadas: centros de </w:t>
            </w:r>
            <w:r w:rsidR="007C31B7" w:rsidRPr="009612C7">
              <w:rPr>
                <w:rFonts w:ascii="Century Gothic" w:hAnsi="Century Gothic"/>
                <w:sz w:val="22"/>
                <w:szCs w:val="22"/>
              </w:rPr>
              <w:t>conciliación</w:t>
            </w:r>
            <w:r w:rsidRPr="009612C7">
              <w:rPr>
                <w:rFonts w:ascii="Century Gothic" w:hAnsi="Century Gothic"/>
                <w:sz w:val="22"/>
                <w:szCs w:val="22"/>
              </w:rPr>
              <w:t xml:space="preserve">, notarios, defensores del pueblo, personeros, </w:t>
            </w:r>
            <w:r w:rsidR="007C31B7" w:rsidRPr="009612C7">
              <w:rPr>
                <w:rFonts w:ascii="Century Gothic" w:hAnsi="Century Gothic"/>
                <w:sz w:val="22"/>
                <w:szCs w:val="22"/>
              </w:rPr>
              <w:t>Cámara</w:t>
            </w:r>
            <w:r w:rsidRPr="009612C7">
              <w:rPr>
                <w:rFonts w:ascii="Century Gothic" w:hAnsi="Century Gothic"/>
                <w:sz w:val="22"/>
                <w:szCs w:val="22"/>
              </w:rPr>
              <w:t xml:space="preserve"> de Comercio. Tramite paso a paso: solicitud, </w:t>
            </w:r>
            <w:r w:rsidR="007C31B7" w:rsidRPr="009612C7">
              <w:rPr>
                <w:rFonts w:ascii="Century Gothic" w:hAnsi="Century Gothic"/>
                <w:sz w:val="22"/>
                <w:szCs w:val="22"/>
              </w:rPr>
              <w:t>citación</w:t>
            </w:r>
            <w:r w:rsidRPr="009612C7">
              <w:rPr>
                <w:rFonts w:ascii="Century Gothic" w:hAnsi="Century Gothic"/>
                <w:sz w:val="22"/>
                <w:szCs w:val="22"/>
              </w:rPr>
              <w:t>, audiencia, acta de acuerdo o constancia de intento fallido. Consecuencias de la inasistencia injustificada.</w:t>
            </w:r>
          </w:p>
        </w:tc>
      </w:tr>
    </w:tbl>
    <w:p w14:paraId="276DA019" w14:textId="77777777" w:rsidR="009612C7" w:rsidRPr="009612C7" w:rsidRDefault="009612C7" w:rsidP="009612C7">
      <w:pPr>
        <w:spacing w:after="0" w:line="240" w:lineRule="auto"/>
        <w:jc w:val="both"/>
        <w:rPr>
          <w:rFonts w:ascii="Century Gothic" w:hAnsi="Century Gothic"/>
          <w:sz w:val="22"/>
          <w:szCs w:val="22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35"/>
        <w:gridCol w:w="8293"/>
      </w:tblGrid>
      <w:tr w:rsidR="009612C7" w:rsidRPr="009612C7" w14:paraId="1A676B8F" w14:textId="77777777" w:rsidTr="009612C7">
        <w:tc>
          <w:tcPr>
            <w:tcW w:w="0" w:type="auto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1A3A5C"/>
            <w:tcMar>
              <w:top w:w="100" w:type="dxa"/>
              <w:left w:w="120" w:type="dxa"/>
              <w:bottom w:w="100" w:type="dxa"/>
              <w:right w:w="120" w:type="dxa"/>
            </w:tcMar>
            <w:hideMark/>
          </w:tcPr>
          <w:p w14:paraId="33A399A4" w14:textId="77777777" w:rsidR="009612C7" w:rsidRPr="009612C7" w:rsidRDefault="009612C7" w:rsidP="009612C7">
            <w:pPr>
              <w:spacing w:after="0" w:line="240" w:lineRule="auto"/>
              <w:jc w:val="both"/>
              <w:rPr>
                <w:rFonts w:ascii="Century Gothic" w:hAnsi="Century Gothic"/>
                <w:sz w:val="22"/>
                <w:szCs w:val="22"/>
              </w:rPr>
            </w:pPr>
            <w:r w:rsidRPr="009612C7">
              <w:rPr>
                <w:rFonts w:ascii="Century Gothic" w:hAnsi="Century Gothic"/>
                <w:b/>
                <w:bCs/>
                <w:sz w:val="22"/>
                <w:szCs w:val="22"/>
              </w:rPr>
              <w:t>C6</w:t>
            </w:r>
          </w:p>
        </w:tc>
        <w:tc>
          <w:tcPr>
            <w:tcW w:w="0" w:type="auto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5F8FC"/>
            <w:tcMar>
              <w:top w:w="100" w:type="dxa"/>
              <w:left w:w="160" w:type="dxa"/>
              <w:bottom w:w="100" w:type="dxa"/>
              <w:right w:w="160" w:type="dxa"/>
            </w:tcMar>
            <w:hideMark/>
          </w:tcPr>
          <w:p w14:paraId="2649ED67" w14:textId="66686D6E" w:rsidR="009612C7" w:rsidRPr="009612C7" w:rsidRDefault="009612C7" w:rsidP="009612C7">
            <w:pPr>
              <w:spacing w:after="0" w:line="240" w:lineRule="auto"/>
              <w:jc w:val="both"/>
              <w:rPr>
                <w:rFonts w:ascii="Century Gothic" w:hAnsi="Century Gothic"/>
                <w:sz w:val="22"/>
                <w:szCs w:val="22"/>
              </w:rPr>
            </w:pPr>
            <w:r w:rsidRPr="009612C7">
              <w:rPr>
                <w:rFonts w:ascii="Century Gothic" w:hAnsi="Century Gothic"/>
                <w:b/>
                <w:bCs/>
                <w:sz w:val="22"/>
                <w:szCs w:val="22"/>
              </w:rPr>
              <w:t xml:space="preserve">El Arbitraje Nacional: Justicia Privada con Efectos </w:t>
            </w:r>
            <w:r w:rsidR="007C31B7" w:rsidRPr="009612C7">
              <w:rPr>
                <w:rFonts w:ascii="Century Gothic" w:hAnsi="Century Gothic"/>
                <w:b/>
                <w:bCs/>
                <w:sz w:val="22"/>
                <w:szCs w:val="22"/>
              </w:rPr>
              <w:t>Públicos</w:t>
            </w:r>
          </w:p>
          <w:p w14:paraId="7D2548D1" w14:textId="61B50055" w:rsidR="009612C7" w:rsidRPr="009612C7" w:rsidRDefault="009612C7" w:rsidP="009612C7">
            <w:pPr>
              <w:spacing w:after="0" w:line="240" w:lineRule="auto"/>
              <w:jc w:val="both"/>
              <w:rPr>
                <w:rFonts w:ascii="Century Gothic" w:hAnsi="Century Gothic"/>
                <w:sz w:val="22"/>
                <w:szCs w:val="22"/>
              </w:rPr>
            </w:pPr>
            <w:r w:rsidRPr="009612C7">
              <w:rPr>
                <w:rFonts w:ascii="Century Gothic" w:hAnsi="Century Gothic"/>
                <w:sz w:val="22"/>
                <w:szCs w:val="22"/>
              </w:rPr>
              <w:t xml:space="preserve">Concepto y fundamento constitucional (Art. 116 C.P. / Ley 1563/12). El pacto arbitral: clausula compromisoria (en el contrato) vs. compromiso (despues del conflicto). Los </w:t>
            </w:r>
            <w:r w:rsidR="007C31B7" w:rsidRPr="009612C7">
              <w:rPr>
                <w:rFonts w:ascii="Century Gothic" w:hAnsi="Century Gothic"/>
                <w:sz w:val="22"/>
                <w:szCs w:val="22"/>
              </w:rPr>
              <w:t>árbitros</w:t>
            </w:r>
            <w:r w:rsidRPr="009612C7">
              <w:rPr>
                <w:rFonts w:ascii="Century Gothic" w:hAnsi="Century Gothic"/>
                <w:sz w:val="22"/>
                <w:szCs w:val="22"/>
              </w:rPr>
              <w:t xml:space="preserve">: </w:t>
            </w:r>
            <w:r w:rsidR="007C31B7" w:rsidRPr="009612C7">
              <w:rPr>
                <w:rFonts w:ascii="Century Gothic" w:hAnsi="Century Gothic"/>
                <w:sz w:val="22"/>
                <w:szCs w:val="22"/>
              </w:rPr>
              <w:t>designación</w:t>
            </w:r>
            <w:r w:rsidRPr="009612C7">
              <w:rPr>
                <w:rFonts w:ascii="Century Gothic" w:hAnsi="Century Gothic"/>
                <w:sz w:val="22"/>
                <w:szCs w:val="22"/>
              </w:rPr>
              <w:t xml:space="preserve">, numero (1 o 3), fallo en derecho o en equidad, impedimentos y plazo para laudar (6 meses + 6 meses). Tabla comparativa laudo arbitral vs. sentencia judicial: ocho criterios. El recurso de </w:t>
            </w:r>
            <w:r w:rsidR="007C31B7" w:rsidRPr="009612C7">
              <w:rPr>
                <w:rFonts w:ascii="Century Gothic" w:hAnsi="Century Gothic"/>
                <w:sz w:val="22"/>
                <w:szCs w:val="22"/>
              </w:rPr>
              <w:t>anulación</w:t>
            </w:r>
            <w:r w:rsidRPr="009612C7">
              <w:rPr>
                <w:rFonts w:ascii="Century Gothic" w:hAnsi="Century Gothic"/>
                <w:sz w:val="22"/>
                <w:szCs w:val="22"/>
              </w:rPr>
              <w:t xml:space="preserve"> (Art. 41 Ley 1563/12): causales taxativas, ante el Tribunal Superior, no revisa el fondo. </w:t>
            </w:r>
          </w:p>
        </w:tc>
      </w:tr>
    </w:tbl>
    <w:p w14:paraId="0C95FEEE" w14:textId="77777777" w:rsidR="009612C7" w:rsidRPr="009612C7" w:rsidRDefault="009612C7" w:rsidP="009612C7">
      <w:pPr>
        <w:spacing w:after="0" w:line="240" w:lineRule="auto"/>
        <w:jc w:val="both"/>
        <w:rPr>
          <w:rFonts w:ascii="Century Gothic" w:hAnsi="Century Gothic"/>
          <w:sz w:val="22"/>
          <w:szCs w:val="22"/>
        </w:rPr>
      </w:pPr>
    </w:p>
    <w:p w14:paraId="01806D3B" w14:textId="77777777" w:rsidR="008D19A5" w:rsidRPr="009612C7" w:rsidRDefault="008D19A5" w:rsidP="009612C7">
      <w:pPr>
        <w:spacing w:after="0" w:line="240" w:lineRule="auto"/>
        <w:jc w:val="both"/>
        <w:rPr>
          <w:rFonts w:ascii="Century Gothic" w:hAnsi="Century Gothic"/>
          <w:sz w:val="22"/>
          <w:szCs w:val="22"/>
        </w:rPr>
      </w:pPr>
    </w:p>
    <w:sectPr w:rsidR="008D19A5" w:rsidRPr="009612C7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28854E2"/>
    <w:multiLevelType w:val="multilevel"/>
    <w:tmpl w:val="4888DE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72559516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12C7"/>
    <w:rsid w:val="001D5D65"/>
    <w:rsid w:val="001F15B4"/>
    <w:rsid w:val="004B575C"/>
    <w:rsid w:val="004D1AB5"/>
    <w:rsid w:val="004D6E6C"/>
    <w:rsid w:val="0052644E"/>
    <w:rsid w:val="00614B5D"/>
    <w:rsid w:val="0065631A"/>
    <w:rsid w:val="006D7025"/>
    <w:rsid w:val="0072586A"/>
    <w:rsid w:val="00734CE6"/>
    <w:rsid w:val="007A4C99"/>
    <w:rsid w:val="007C31B7"/>
    <w:rsid w:val="00800220"/>
    <w:rsid w:val="00867B53"/>
    <w:rsid w:val="008D19A5"/>
    <w:rsid w:val="0095202F"/>
    <w:rsid w:val="009612C7"/>
    <w:rsid w:val="00995B0F"/>
    <w:rsid w:val="009E04F4"/>
    <w:rsid w:val="00A35251"/>
    <w:rsid w:val="00B00EA8"/>
    <w:rsid w:val="00B20C2B"/>
    <w:rsid w:val="00B5429B"/>
    <w:rsid w:val="00BA3485"/>
    <w:rsid w:val="00D0420E"/>
    <w:rsid w:val="00D13785"/>
    <w:rsid w:val="00D949FA"/>
    <w:rsid w:val="00DA519D"/>
    <w:rsid w:val="00E55E5C"/>
    <w:rsid w:val="00EA3B87"/>
    <w:rsid w:val="00F36D27"/>
    <w:rsid w:val="00FA1A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920F90"/>
  <w15:chartTrackingRefBased/>
  <w15:docId w15:val="{D0E1DE4A-30B3-403B-820D-FCD0F4ADAF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9612C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9612C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9612C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9612C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9612C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9612C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9612C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9612C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9612C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9612C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9612C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9612C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9612C7"/>
    <w:rPr>
      <w:rFonts w:eastAsiaTheme="majorEastAsia" w:cstheme="majorBidi"/>
      <w:i/>
      <w:iCs/>
      <w:color w:val="2F5496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9612C7"/>
    <w:rPr>
      <w:rFonts w:eastAsiaTheme="majorEastAsia" w:cstheme="majorBidi"/>
      <w:color w:val="2F5496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9612C7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9612C7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9612C7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9612C7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9612C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9612C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9612C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9612C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9612C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9612C7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9612C7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9612C7"/>
    <w:rPr>
      <w:i/>
      <w:iCs/>
      <w:color w:val="2F5496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9612C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9612C7"/>
    <w:rPr>
      <w:i/>
      <w:iCs/>
      <w:color w:val="2F5496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9612C7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204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33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11</Pages>
  <Words>3816</Words>
  <Characters>20992</Characters>
  <Application>Microsoft Office Word</Application>
  <DocSecurity>0</DocSecurity>
  <Lines>174</Lines>
  <Paragraphs>49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Jackeline Betancourt Ch</dc:creator>
  <cp:keywords/>
  <dc:description/>
  <cp:lastModifiedBy>Jackeline Betancourt Ch</cp:lastModifiedBy>
  <cp:revision>1</cp:revision>
  <dcterms:created xsi:type="dcterms:W3CDTF">2026-03-15T22:41:00Z</dcterms:created>
  <dcterms:modified xsi:type="dcterms:W3CDTF">2026-03-15T22:52:00Z</dcterms:modified>
</cp:coreProperties>
</file>